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00" w:lineRule="atLeast"/>
        <w:jc w:val="both"/>
        <w:rPr>
          <w:rFonts w:eastAsia="仿宋"/>
          <w:color w:val="000000"/>
          <w:kern w:val="0"/>
          <w:sz w:val="32"/>
          <w:szCs w:val="32"/>
        </w:rPr>
      </w:pPr>
    </w:p>
    <w:p>
      <w:pPr>
        <w:widowControl/>
        <w:spacing w:before="100" w:beforeAutospacing="1" w:after="100" w:afterAutospacing="1" w:line="300" w:lineRule="atLeast"/>
        <w:jc w:val="both"/>
        <w:rPr>
          <w:rFonts w:eastAsia="仿宋"/>
          <w:color w:val="000000"/>
          <w:kern w:val="0"/>
          <w:sz w:val="32"/>
          <w:szCs w:val="32"/>
        </w:rPr>
      </w:pPr>
    </w:p>
    <w:p>
      <w:pPr>
        <w:widowControl/>
        <w:spacing w:before="100" w:beforeAutospacing="1" w:after="100" w:afterAutospacing="1" w:line="300" w:lineRule="atLeast"/>
        <w:jc w:val="both"/>
        <w:rPr>
          <w:rFonts w:eastAsia="仿宋"/>
          <w:color w:val="000000"/>
          <w:kern w:val="0"/>
          <w:sz w:val="32"/>
          <w:szCs w:val="32"/>
        </w:rPr>
      </w:pPr>
    </w:p>
    <w:p>
      <w:pPr>
        <w:widowControl/>
        <w:spacing w:before="100" w:beforeAutospacing="1" w:after="100" w:afterAutospacing="1" w:line="300" w:lineRule="atLeast"/>
        <w:jc w:val="center"/>
        <w:rPr>
          <w:rFonts w:eastAsia="仿宋"/>
          <w:kern w:val="0"/>
          <w:sz w:val="32"/>
          <w:szCs w:val="32"/>
        </w:rPr>
      </w:pPr>
      <w:r>
        <w:rPr>
          <w:rFonts w:eastAsia="仿宋"/>
          <w:color w:val="000000"/>
          <w:kern w:val="0"/>
          <w:sz w:val="32"/>
          <w:szCs w:val="32"/>
        </w:rPr>
        <w:t>苏教际协〔2</w:t>
      </w:r>
      <w:r>
        <w:rPr>
          <w:rFonts w:eastAsia="仿宋"/>
          <w:kern w:val="0"/>
          <w:sz w:val="32"/>
          <w:szCs w:val="32"/>
        </w:rPr>
        <w:t>0</w:t>
      </w:r>
      <w:r>
        <w:rPr>
          <w:rFonts w:hint="eastAsia" w:eastAsia="仿宋"/>
          <w:kern w:val="0"/>
          <w:sz w:val="32"/>
          <w:szCs w:val="32"/>
          <w:lang w:val="en-US" w:eastAsia="zh-CN"/>
        </w:rPr>
        <w:t>22</w:t>
      </w:r>
      <w:r>
        <w:rPr>
          <w:rFonts w:eastAsia="仿宋"/>
          <w:kern w:val="0"/>
          <w:sz w:val="32"/>
          <w:szCs w:val="32"/>
        </w:rPr>
        <w:t>〕</w:t>
      </w:r>
      <w:r>
        <w:rPr>
          <w:rFonts w:hint="eastAsia" w:eastAsia="仿宋"/>
          <w:kern w:val="0"/>
          <w:sz w:val="32"/>
          <w:szCs w:val="32"/>
          <w:lang w:val="en-US" w:eastAsia="zh-CN"/>
        </w:rPr>
        <w:t>3</w:t>
      </w:r>
      <w:r>
        <w:rPr>
          <w:rFonts w:eastAsia="仿宋"/>
          <w:kern w:val="0"/>
          <w:sz w:val="32"/>
          <w:szCs w:val="32"/>
        </w:rPr>
        <w:t>号</w:t>
      </w:r>
    </w:p>
    <w:p>
      <w:pPr>
        <w:widowControl/>
        <w:spacing w:before="100" w:beforeAutospacing="1" w:after="100" w:afterAutospacing="1" w:line="300" w:lineRule="atLeast"/>
        <w:jc w:val="both"/>
        <w:rPr>
          <w:rFonts w:eastAsia="仿宋"/>
          <w:kern w:val="0"/>
          <w:sz w:val="32"/>
          <w:szCs w:val="32"/>
        </w:rPr>
      </w:pPr>
    </w:p>
    <w:p>
      <w:pPr>
        <w:spacing w:line="560" w:lineRule="exact"/>
        <w:jc w:val="center"/>
        <w:rPr>
          <w:rFonts w:ascii="Calibri" w:hAnsi="Calibri" w:eastAsia="方正小标宋简体" w:cs="Times New Roman"/>
          <w:sz w:val="44"/>
          <w:szCs w:val="44"/>
        </w:rPr>
      </w:pPr>
      <w:bookmarkStart w:id="0" w:name="OLE_LINK1"/>
    </w:p>
    <w:p>
      <w:pPr>
        <w:spacing w:line="560" w:lineRule="exact"/>
        <w:jc w:val="center"/>
        <w:rPr>
          <w:rFonts w:hint="eastAsia" w:ascii="Calibri" w:hAnsi="Calibri" w:eastAsia="方正小标宋简体" w:cs="Times New Roman"/>
          <w:sz w:val="44"/>
          <w:szCs w:val="44"/>
          <w:lang w:eastAsia="zh-CN"/>
        </w:rPr>
      </w:pPr>
      <w:r>
        <w:rPr>
          <w:rFonts w:ascii="Calibri" w:hAnsi="Calibri" w:eastAsia="方正小标宋简体" w:cs="Times New Roman"/>
          <w:sz w:val="44"/>
          <w:szCs w:val="44"/>
        </w:rPr>
        <w:t>关于</w:t>
      </w:r>
      <w:r>
        <w:rPr>
          <w:rFonts w:hint="eastAsia" w:ascii="Calibri" w:hAnsi="Calibri" w:eastAsia="方正小标宋简体" w:cs="Times New Roman"/>
          <w:sz w:val="44"/>
          <w:szCs w:val="44"/>
          <w:lang w:eastAsia="zh-CN"/>
        </w:rPr>
        <w:t>开展</w:t>
      </w:r>
      <w:r>
        <w:rPr>
          <w:rFonts w:hint="eastAsia" w:ascii="华文中宋" w:hAnsi="华文中宋" w:eastAsia="华文中宋" w:cs="华文中宋"/>
          <w:sz w:val="44"/>
          <w:szCs w:val="44"/>
        </w:rPr>
        <w:t>202</w:t>
      </w:r>
      <w:r>
        <w:rPr>
          <w:rFonts w:hint="eastAsia" w:ascii="华文中宋" w:hAnsi="华文中宋" w:eastAsia="华文中宋" w:cs="华文中宋"/>
          <w:sz w:val="44"/>
          <w:szCs w:val="44"/>
          <w:lang w:val="en-US" w:eastAsia="zh-CN"/>
        </w:rPr>
        <w:t>2</w:t>
      </w:r>
      <w:r>
        <w:rPr>
          <w:rFonts w:ascii="Calibri" w:hAnsi="Calibri" w:eastAsia="方正小标宋简体" w:cs="Times New Roman"/>
          <w:sz w:val="44"/>
          <w:szCs w:val="44"/>
        </w:rPr>
        <w:t>年</w:t>
      </w:r>
      <w:r>
        <w:rPr>
          <w:rFonts w:hint="eastAsia" w:ascii="Calibri" w:hAnsi="Calibri" w:eastAsia="方正小标宋简体" w:cs="Times New Roman"/>
          <w:sz w:val="44"/>
          <w:szCs w:val="44"/>
          <w:lang w:val="en-US" w:eastAsia="zh-CN"/>
        </w:rPr>
        <w:t>暑期</w:t>
      </w:r>
      <w:r>
        <w:rPr>
          <w:rFonts w:hint="eastAsia" w:ascii="Calibri" w:hAnsi="Calibri" w:eastAsia="方正小标宋简体" w:cs="Times New Roman"/>
          <w:sz w:val="44"/>
          <w:szCs w:val="44"/>
          <w:lang w:eastAsia="zh-CN"/>
        </w:rPr>
        <w:t>大学生线上</w:t>
      </w:r>
    </w:p>
    <w:p>
      <w:pPr>
        <w:spacing w:line="560" w:lineRule="exact"/>
        <w:jc w:val="center"/>
        <w:rPr>
          <w:rFonts w:ascii="Calibri" w:hAnsi="Calibri" w:eastAsia="方正小标宋简体" w:cs="Times New Roman"/>
          <w:sz w:val="44"/>
          <w:szCs w:val="44"/>
        </w:rPr>
      </w:pPr>
      <w:r>
        <w:rPr>
          <w:rFonts w:hint="eastAsia" w:ascii="Calibri" w:hAnsi="Calibri" w:eastAsia="方正小标宋简体" w:cs="Times New Roman"/>
          <w:sz w:val="44"/>
          <w:szCs w:val="44"/>
          <w:lang w:eastAsia="zh-CN"/>
        </w:rPr>
        <w:t>国际课程科研项目</w:t>
      </w:r>
      <w:r>
        <w:rPr>
          <w:rFonts w:ascii="Calibri" w:hAnsi="Calibri" w:eastAsia="方正小标宋简体" w:cs="Times New Roman"/>
          <w:sz w:val="44"/>
          <w:szCs w:val="44"/>
        </w:rPr>
        <w:t>的通知</w:t>
      </w:r>
    </w:p>
    <w:p>
      <w:pPr>
        <w:spacing w:line="560" w:lineRule="exact"/>
        <w:jc w:val="both"/>
        <w:rPr>
          <w:rFonts w:eastAsia="方正小标宋简体"/>
          <w:sz w:val="44"/>
          <w:szCs w:val="44"/>
        </w:rPr>
      </w:pPr>
    </w:p>
    <w:p>
      <w:pPr>
        <w:spacing w:line="560" w:lineRule="exact"/>
        <w:rPr>
          <w:rFonts w:eastAsia="方正小标宋简体"/>
          <w:sz w:val="44"/>
          <w:szCs w:val="44"/>
        </w:rPr>
      </w:pPr>
      <w:r>
        <w:rPr>
          <w:rFonts w:eastAsia="仿宋"/>
          <w:color w:val="000000"/>
          <w:kern w:val="0"/>
          <w:sz w:val="32"/>
          <w:szCs w:val="32"/>
        </w:rPr>
        <w:t>各会员高校：</w:t>
      </w:r>
    </w:p>
    <w:bookmarkEnd w:id="0"/>
    <w:p>
      <w:pPr>
        <w:spacing w:line="560" w:lineRule="exact"/>
        <w:ind w:right="-57" w:rightChars="-27" w:firstLine="640" w:firstLineChars="200"/>
        <w:rPr>
          <w:rFonts w:hint="eastAsia"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为满足新冠肺炎疫情期间大学生</w:t>
      </w:r>
      <w:r>
        <w:rPr>
          <w:rFonts w:hint="eastAsia" w:eastAsia="仿宋" w:cs="Times New Roman"/>
          <w:color w:val="000000"/>
          <w:kern w:val="0"/>
          <w:sz w:val="32"/>
          <w:szCs w:val="32"/>
          <w:lang w:eastAsia="zh-CN"/>
        </w:rPr>
        <w:t>利用</w:t>
      </w:r>
      <w:r>
        <w:rPr>
          <w:rFonts w:hint="eastAsia" w:ascii="Times New Roman" w:hAnsi="Times New Roman" w:eastAsia="仿宋" w:cs="Times New Roman"/>
          <w:color w:val="000000"/>
          <w:kern w:val="0"/>
          <w:sz w:val="32"/>
          <w:szCs w:val="32"/>
        </w:rPr>
        <w:t>海外优质</w:t>
      </w:r>
      <w:r>
        <w:rPr>
          <w:rFonts w:hint="eastAsia" w:eastAsia="仿宋" w:cs="Times New Roman"/>
          <w:color w:val="000000"/>
          <w:kern w:val="0"/>
          <w:sz w:val="32"/>
          <w:szCs w:val="32"/>
          <w:lang w:eastAsia="zh-CN"/>
        </w:rPr>
        <w:t>教育</w:t>
      </w:r>
      <w:r>
        <w:rPr>
          <w:rFonts w:hint="eastAsia" w:ascii="Times New Roman" w:hAnsi="Times New Roman" w:eastAsia="仿宋" w:cs="Times New Roman"/>
          <w:color w:val="000000"/>
          <w:kern w:val="0"/>
          <w:sz w:val="32"/>
          <w:szCs w:val="32"/>
        </w:rPr>
        <w:t>资源提升学术科研能力的需求，我会联合</w:t>
      </w:r>
      <w:r>
        <w:rPr>
          <w:rFonts w:hint="eastAsia" w:eastAsia="仿宋" w:cs="Times New Roman"/>
          <w:color w:val="000000"/>
          <w:kern w:val="0"/>
          <w:sz w:val="32"/>
          <w:szCs w:val="32"/>
          <w:lang w:eastAsia="zh-CN"/>
        </w:rPr>
        <w:t>英国</w:t>
      </w:r>
      <w:r>
        <w:rPr>
          <w:rFonts w:hint="eastAsia" w:ascii="Times New Roman" w:hAnsi="Times New Roman" w:eastAsia="仿宋" w:cs="Times New Roman"/>
          <w:color w:val="000000"/>
          <w:kern w:val="0"/>
          <w:sz w:val="32"/>
          <w:szCs w:val="32"/>
        </w:rPr>
        <w:t>剑桥大学</w:t>
      </w:r>
      <w:r>
        <w:rPr>
          <w:rFonts w:hint="eastAsia"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rPr>
        <w:t>牛津大学，为江苏高校大学生提供线上</w:t>
      </w:r>
      <w:r>
        <w:rPr>
          <w:rFonts w:hint="eastAsia" w:eastAsia="仿宋" w:cs="Times New Roman"/>
          <w:color w:val="000000"/>
          <w:kern w:val="0"/>
          <w:sz w:val="32"/>
          <w:szCs w:val="32"/>
          <w:lang w:eastAsia="zh-CN"/>
        </w:rPr>
        <w:t>国际课程</w:t>
      </w:r>
      <w:r>
        <w:rPr>
          <w:rFonts w:hint="eastAsia" w:ascii="Times New Roman" w:hAnsi="Times New Roman" w:eastAsia="仿宋" w:cs="Times New Roman"/>
          <w:color w:val="000000"/>
          <w:kern w:val="0"/>
          <w:sz w:val="32"/>
          <w:szCs w:val="32"/>
        </w:rPr>
        <w:t>科研项目。</w:t>
      </w:r>
      <w:r>
        <w:rPr>
          <w:rFonts w:hint="eastAsia" w:eastAsia="仿宋" w:cs="Times New Roman"/>
          <w:color w:val="000000"/>
          <w:kern w:val="0"/>
          <w:sz w:val="32"/>
          <w:szCs w:val="32"/>
          <w:lang w:val="en-US" w:eastAsia="zh-CN"/>
        </w:rPr>
        <w:t>项目已实施四期，得到了项目参与学生的一致认可。他们反映课程内容新颖，结合了前沿研究和实践；讲解由浅入深，层层递进；教授经验丰富，指导耐心；课后的辅导答疑，巩固了所学。参与课程学习不仅获得结业证书和推荐信，更重要的是提升了专业知识水平和英文交流水平，拓宽了国际视野，部分需发表论文的学生也收到了国际期刊的论文刊录通知。</w:t>
      </w:r>
      <w:r>
        <w:rPr>
          <w:rFonts w:hint="eastAsia" w:ascii="Times New Roman" w:hAnsi="Times New Roman" w:eastAsia="仿宋" w:cs="Times New Roman"/>
          <w:color w:val="000000"/>
          <w:kern w:val="0"/>
          <w:sz w:val="32"/>
          <w:szCs w:val="32"/>
        </w:rPr>
        <w:t>现将202</w:t>
      </w:r>
      <w:r>
        <w:rPr>
          <w:rFonts w:hint="eastAsia" w:eastAsia="仿宋" w:cs="Times New Roman"/>
          <w:color w:val="000000"/>
          <w:kern w:val="0"/>
          <w:sz w:val="32"/>
          <w:szCs w:val="32"/>
          <w:lang w:val="en-US" w:eastAsia="zh-CN"/>
        </w:rPr>
        <w:t>2</w:t>
      </w:r>
      <w:r>
        <w:rPr>
          <w:rFonts w:hint="eastAsia" w:ascii="Times New Roman" w:hAnsi="Times New Roman" w:eastAsia="仿宋" w:cs="Times New Roman"/>
          <w:color w:val="000000"/>
          <w:kern w:val="0"/>
          <w:sz w:val="32"/>
          <w:szCs w:val="32"/>
        </w:rPr>
        <w:t>年度</w:t>
      </w:r>
      <w:r>
        <w:rPr>
          <w:rFonts w:hint="eastAsia" w:eastAsia="仿宋" w:cs="Times New Roman"/>
          <w:color w:val="000000"/>
          <w:kern w:val="0"/>
          <w:sz w:val="32"/>
          <w:szCs w:val="32"/>
          <w:lang w:val="en-US" w:eastAsia="zh-CN"/>
        </w:rPr>
        <w:t>暑假期间</w:t>
      </w:r>
      <w:r>
        <w:rPr>
          <w:rFonts w:hint="eastAsia" w:ascii="Times New Roman" w:hAnsi="Times New Roman" w:eastAsia="仿宋" w:cs="Times New Roman"/>
          <w:color w:val="000000"/>
          <w:kern w:val="0"/>
          <w:sz w:val="32"/>
          <w:szCs w:val="32"/>
        </w:rPr>
        <w:t>项目实施有关事项通知如下：</w:t>
      </w:r>
    </w:p>
    <w:p>
      <w:pPr>
        <w:numPr>
          <w:ilvl w:val="0"/>
          <w:numId w:val="1"/>
        </w:numPr>
        <w:spacing w:line="560" w:lineRule="exact"/>
        <w:ind w:firstLine="640" w:firstLineChars="200"/>
        <w:rPr>
          <w:rFonts w:eastAsia="黑体"/>
          <w:bCs/>
          <w:color w:val="000000"/>
          <w:kern w:val="0"/>
          <w:sz w:val="32"/>
          <w:szCs w:val="32"/>
        </w:rPr>
      </w:pPr>
      <w:r>
        <w:rPr>
          <w:rFonts w:hint="eastAsia" w:eastAsia="黑体"/>
          <w:bCs/>
          <w:color w:val="000000"/>
          <w:kern w:val="0"/>
          <w:sz w:val="32"/>
          <w:szCs w:val="32"/>
          <w:lang w:eastAsia="zh-CN"/>
        </w:rPr>
        <w:t>项目</w:t>
      </w:r>
      <w:r>
        <w:rPr>
          <w:rFonts w:eastAsia="黑体"/>
          <w:bCs/>
          <w:color w:val="000000"/>
          <w:kern w:val="0"/>
          <w:sz w:val="32"/>
          <w:szCs w:val="32"/>
        </w:rPr>
        <w:t>内容</w:t>
      </w:r>
    </w:p>
    <w:p>
      <w:pPr>
        <w:spacing w:line="560" w:lineRule="exact"/>
        <w:ind w:right="-57" w:rightChars="-27" w:firstLine="640" w:firstLineChars="200"/>
        <w:rPr>
          <w:rFonts w:hint="eastAsia"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参</w:t>
      </w:r>
      <w:r>
        <w:rPr>
          <w:rFonts w:hint="eastAsia" w:ascii="Times New Roman" w:hAnsi="Times New Roman" w:eastAsia="仿宋" w:cs="Times New Roman"/>
          <w:color w:val="000000"/>
          <w:kern w:val="0"/>
          <w:sz w:val="32"/>
          <w:szCs w:val="32"/>
          <w:lang w:eastAsia="zh-CN"/>
        </w:rPr>
        <w:t>与</w:t>
      </w:r>
      <w:r>
        <w:rPr>
          <w:rFonts w:hint="eastAsia" w:ascii="Times New Roman" w:hAnsi="Times New Roman" w:eastAsia="仿宋" w:cs="Times New Roman"/>
          <w:color w:val="000000"/>
          <w:kern w:val="0"/>
          <w:sz w:val="32"/>
          <w:szCs w:val="32"/>
        </w:rPr>
        <w:t>项目的学生</w:t>
      </w:r>
      <w:r>
        <w:rPr>
          <w:rFonts w:hint="eastAsia" w:ascii="Times New Roman" w:hAnsi="Times New Roman" w:eastAsia="仿宋" w:cs="Times New Roman"/>
          <w:color w:val="000000"/>
          <w:kern w:val="0"/>
          <w:sz w:val="32"/>
          <w:szCs w:val="32"/>
          <w:lang w:eastAsia="zh-CN"/>
        </w:rPr>
        <w:t>将</w:t>
      </w:r>
      <w:r>
        <w:rPr>
          <w:rFonts w:hint="eastAsia" w:ascii="Times New Roman" w:hAnsi="Times New Roman" w:eastAsia="仿宋" w:cs="Times New Roman"/>
          <w:color w:val="000000"/>
          <w:kern w:val="0"/>
          <w:sz w:val="32"/>
          <w:szCs w:val="32"/>
        </w:rPr>
        <w:t>在剑桥大学</w:t>
      </w:r>
      <w:r>
        <w:rPr>
          <w:rFonts w:hint="eastAsia" w:ascii="Times New Roman" w:hAnsi="Times New Roman"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rPr>
        <w:t>牛津大学相关专业教授的指导下开展为期8-10周本专业相关课题的学习与研究。学习期间，教授每周利用Zoom平台集中授课一次，时长</w:t>
      </w:r>
      <w:r>
        <w:rPr>
          <w:rFonts w:hint="eastAsia" w:ascii="Times New Roman" w:hAnsi="Times New Roman" w:eastAsia="仿宋" w:cs="Times New Roman"/>
          <w:color w:val="000000"/>
          <w:kern w:val="0"/>
          <w:sz w:val="32"/>
          <w:szCs w:val="32"/>
          <w:lang w:val="en-US" w:eastAsia="zh-CN"/>
        </w:rPr>
        <w:t>60</w:t>
      </w:r>
      <w:r>
        <w:rPr>
          <w:rFonts w:hint="eastAsia" w:ascii="Times New Roman" w:hAnsi="Times New Roman" w:eastAsia="仿宋" w:cs="Times New Roman"/>
          <w:color w:val="000000"/>
          <w:kern w:val="0"/>
          <w:sz w:val="32"/>
          <w:szCs w:val="32"/>
        </w:rPr>
        <w:t>分钟；教授每周答疑一次，时长</w:t>
      </w:r>
      <w:r>
        <w:rPr>
          <w:rFonts w:hint="eastAsia" w:ascii="Times New Roman" w:hAnsi="Times New Roman" w:eastAsia="仿宋" w:cs="Times New Roman"/>
          <w:color w:val="000000"/>
          <w:kern w:val="0"/>
          <w:sz w:val="32"/>
          <w:szCs w:val="32"/>
          <w:lang w:val="en-US" w:eastAsia="zh-CN"/>
        </w:rPr>
        <w:t>60</w:t>
      </w:r>
      <w:r>
        <w:rPr>
          <w:rFonts w:hint="eastAsia" w:ascii="Times New Roman" w:hAnsi="Times New Roman" w:eastAsia="仿宋" w:cs="Times New Roman"/>
          <w:color w:val="000000"/>
          <w:kern w:val="0"/>
          <w:sz w:val="32"/>
          <w:szCs w:val="32"/>
        </w:rPr>
        <w:t>分钟；教授指导论文写作</w:t>
      </w:r>
      <w:r>
        <w:rPr>
          <w:rFonts w:hint="eastAsia" w:eastAsia="仿宋" w:cs="Times New Roman"/>
          <w:color w:val="000000"/>
          <w:kern w:val="0"/>
          <w:sz w:val="32"/>
          <w:szCs w:val="32"/>
          <w:lang w:val="en-US" w:eastAsia="zh-CN"/>
        </w:rPr>
        <w:t>两</w:t>
      </w:r>
      <w:r>
        <w:rPr>
          <w:rFonts w:hint="eastAsia" w:ascii="Times New Roman" w:hAnsi="Times New Roman" w:eastAsia="仿宋" w:cs="Times New Roman"/>
          <w:color w:val="000000"/>
          <w:kern w:val="0"/>
          <w:sz w:val="32"/>
          <w:szCs w:val="32"/>
        </w:rPr>
        <w:t>次，每次</w:t>
      </w:r>
      <w:r>
        <w:rPr>
          <w:rFonts w:hint="eastAsia" w:ascii="Times New Roman" w:hAnsi="Times New Roman" w:eastAsia="仿宋" w:cs="Times New Roman"/>
          <w:color w:val="000000"/>
          <w:kern w:val="0"/>
          <w:sz w:val="32"/>
          <w:szCs w:val="32"/>
          <w:lang w:val="en-US" w:eastAsia="zh-CN"/>
        </w:rPr>
        <w:t>60</w:t>
      </w:r>
      <w:r>
        <w:rPr>
          <w:rFonts w:hint="eastAsia" w:ascii="Times New Roman" w:hAnsi="Times New Roman" w:eastAsia="仿宋" w:cs="Times New Roman"/>
          <w:color w:val="000000"/>
          <w:kern w:val="0"/>
          <w:sz w:val="32"/>
          <w:szCs w:val="32"/>
        </w:rPr>
        <w:t>分钟；教授参与论文答辩两次，每次时长</w:t>
      </w:r>
      <w:r>
        <w:rPr>
          <w:rFonts w:hint="eastAsia" w:ascii="Times New Roman" w:hAnsi="Times New Roman" w:eastAsia="仿宋" w:cs="Times New Roman"/>
          <w:color w:val="000000"/>
          <w:kern w:val="0"/>
          <w:sz w:val="32"/>
          <w:szCs w:val="32"/>
          <w:lang w:val="en-US" w:eastAsia="zh-CN"/>
        </w:rPr>
        <w:t>60</w:t>
      </w:r>
      <w:r>
        <w:rPr>
          <w:rFonts w:hint="eastAsia" w:ascii="Times New Roman" w:hAnsi="Times New Roman" w:eastAsia="仿宋" w:cs="Times New Roman"/>
          <w:color w:val="000000"/>
          <w:kern w:val="0"/>
          <w:sz w:val="32"/>
          <w:szCs w:val="32"/>
        </w:rPr>
        <w:t>分钟。</w:t>
      </w:r>
    </w:p>
    <w:p>
      <w:pPr>
        <w:spacing w:line="560" w:lineRule="exact"/>
        <w:ind w:right="-57" w:rightChars="-27" w:firstLine="640" w:firstLineChars="200"/>
        <w:rPr>
          <w:rFonts w:hint="eastAsia" w:ascii="Times New Roman" w:hAnsi="Times New Roman" w:eastAsia="仿宋" w:cs="Times New Roman"/>
          <w:color w:val="000000"/>
          <w:kern w:val="0"/>
          <w:sz w:val="32"/>
          <w:szCs w:val="32"/>
          <w:lang w:eastAsia="zh-CN"/>
        </w:rPr>
      </w:pPr>
      <w:r>
        <w:rPr>
          <w:rFonts w:hint="eastAsia" w:ascii="Times New Roman" w:hAnsi="Times New Roman" w:eastAsia="仿宋" w:cs="Times New Roman"/>
          <w:color w:val="000000"/>
          <w:kern w:val="0"/>
          <w:sz w:val="32"/>
          <w:szCs w:val="32"/>
          <w:lang w:eastAsia="zh-CN"/>
        </w:rPr>
        <w:t>学习前提前发放预习材料、授课</w:t>
      </w:r>
      <w:r>
        <w:rPr>
          <w:rFonts w:hint="eastAsia" w:ascii="Times New Roman" w:hAnsi="Times New Roman" w:eastAsia="仿宋" w:cs="Times New Roman"/>
          <w:color w:val="000000"/>
          <w:kern w:val="0"/>
          <w:sz w:val="32"/>
          <w:szCs w:val="32"/>
          <w:lang w:val="en-US" w:eastAsia="zh-CN"/>
        </w:rPr>
        <w:t>PPT等，帮助学生做好听课准备；授课后，提供授课视频供项目学习者反复观看；</w:t>
      </w:r>
      <w:r>
        <w:rPr>
          <w:rFonts w:hint="eastAsia" w:ascii="Times New Roman" w:hAnsi="Times New Roman" w:eastAsia="仿宋" w:cs="Times New Roman"/>
          <w:color w:val="000000"/>
          <w:kern w:val="0"/>
          <w:sz w:val="32"/>
          <w:szCs w:val="32"/>
        </w:rPr>
        <w:t>学习期满，学生将获得教授亲笔签名的推荐信、项目评估报告以及项目结业证书</w:t>
      </w:r>
      <w:r>
        <w:rPr>
          <w:rFonts w:hint="eastAsia" w:ascii="Times New Roman" w:hAnsi="Times New Roman" w:eastAsia="仿宋" w:cs="Times New Roman"/>
          <w:color w:val="000000"/>
          <w:kern w:val="0"/>
          <w:sz w:val="32"/>
          <w:szCs w:val="32"/>
          <w:lang w:eastAsia="zh-CN"/>
        </w:rPr>
        <w:t>，有意者论文可在CPCI/EI会议等国际刊物发表。上述学习收获材料是证明学生学术能力的重要依据，是学生申请国内外硕士研究生的有力证明材料。</w:t>
      </w:r>
    </w:p>
    <w:p>
      <w:pPr>
        <w:numPr>
          <w:ilvl w:val="0"/>
          <w:numId w:val="1"/>
        </w:numPr>
        <w:spacing w:line="560" w:lineRule="exact"/>
        <w:ind w:firstLine="640" w:firstLineChars="200"/>
        <w:rPr>
          <w:rFonts w:hint="eastAsia" w:eastAsia="黑体"/>
          <w:bCs/>
          <w:color w:val="000000"/>
          <w:kern w:val="0"/>
          <w:sz w:val="32"/>
          <w:szCs w:val="32"/>
          <w:lang w:eastAsia="zh-CN"/>
        </w:rPr>
      </w:pPr>
      <w:r>
        <w:rPr>
          <w:rFonts w:hint="eastAsia" w:eastAsia="黑体"/>
          <w:bCs/>
          <w:color w:val="000000"/>
          <w:kern w:val="0"/>
          <w:sz w:val="32"/>
          <w:szCs w:val="32"/>
          <w:lang w:eastAsia="zh-CN"/>
        </w:rPr>
        <w:t>可申请课题、内容介绍、相关专业及授课教师</w:t>
      </w:r>
    </w:p>
    <w:p>
      <w:pPr>
        <w:spacing w:line="560" w:lineRule="exact"/>
        <w:ind w:right="-57" w:rightChars="-27" w:firstLine="640" w:firstLineChars="200"/>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（一）课题《全球化趋势下的教育与公共政策研究》</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内容介绍：课题旨在培养全球化背景下学生对于信息的筛选能力及正确的思考方式，注重培养参与者批判性思维及分析能力，提升对于教育理论及公共政策知识的理解，集中训练学生复杂问题的表达方式及全球格局的发散性思维。</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相关专业：教育学、公共政策、国际关系、全球治理</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授课教师：</w:t>
      </w:r>
      <w:r>
        <w:rPr>
          <w:rFonts w:hint="default" w:ascii="Times New Roman" w:hAnsi="Times New Roman" w:eastAsia="仿宋" w:cs="Times New Roman"/>
          <w:color w:val="000000"/>
          <w:kern w:val="0"/>
          <w:sz w:val="32"/>
          <w:szCs w:val="32"/>
          <w:lang w:val="en-US" w:eastAsia="zh-CN"/>
        </w:rPr>
        <w:t>牛津大学哈里斯曼彻斯特学院</w:t>
      </w:r>
      <w:r>
        <w:rPr>
          <w:rFonts w:hint="eastAsia" w:ascii="Times New Roman" w:hAnsi="Times New Roman" w:eastAsia="仿宋" w:cs="Times New Roman"/>
          <w:color w:val="000000"/>
          <w:kern w:val="0"/>
          <w:sz w:val="32"/>
          <w:szCs w:val="32"/>
          <w:lang w:val="en-US" w:eastAsia="zh-CN"/>
        </w:rPr>
        <w:t>Liam Francis Gearon教授</w:t>
      </w:r>
    </w:p>
    <w:p>
      <w:pPr>
        <w:spacing w:line="560" w:lineRule="exact"/>
        <w:ind w:right="-57" w:rightChars="-27" w:firstLine="640" w:firstLineChars="200"/>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（二）课题《公共卫生与生物医学：冠状病毒“战疫”》</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内容介绍：帮助学生构建公共卫生与生物医学知识体系，特别是冠状病毒的相关知识，全面提升解决现实问题的能力，为未来升学和求职奠定坚实的基础。</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相关专业：医药学、免疫学、生物学</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授课教师：牛津大学纳菲尔德医学系Baird教授</w:t>
      </w:r>
    </w:p>
    <w:p>
      <w:pPr>
        <w:spacing w:line="560" w:lineRule="exact"/>
        <w:ind w:right="-57" w:rightChars="-27" w:firstLine="640" w:firstLineChars="200"/>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（三）课题《机器人、人工智能与计算机网络》</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内容介绍：本课程教授人工智能的基本原理，展示大量编程示例和AI技术来解释各种各样的信息来源，并使用它来实现智能且有目标导向的行为。通过教授计算机网络的基本原则来提高学生的理解能力。在自上而下分析法中，带领学生检查协议栈的应用程序，传输、网络和数据链路层。</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相关专业：计算机、人工智能</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授课教师：牛津大学计算机科学系Vicary教授</w:t>
      </w:r>
    </w:p>
    <w:p>
      <w:pPr>
        <w:spacing w:line="560" w:lineRule="exact"/>
        <w:ind w:right="-57" w:rightChars="-27" w:firstLine="640" w:firstLineChars="200"/>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（四）课题《实证金融学在股市中的运用》</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内容介绍：本课程的目的是使学生了解当前金融市场实证研究的课题、方法和目的。焦点主要集中在股票市场，重点在模型构建和方法运用以及实证结果及其解释上。</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相关专业：金融、经济、金融工程等商科专业</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授课教师：剑桥大学Judge商学院金融学专业Raghavendra Rau 教授</w:t>
      </w:r>
    </w:p>
    <w:p>
      <w:pPr>
        <w:spacing w:line="560" w:lineRule="exact"/>
        <w:ind w:right="-57" w:rightChars="-27" w:firstLine="640" w:firstLineChars="200"/>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（五）课题《新闻与传播、传媒研究：社交媒体平台消费者行为与营销研究》</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内容介绍：项目将介绍基本的传播理论，让学生了解数字、社交、移动媒体以及市场营销。通过一段时间的学习，学生将在该领域提出研究主题的构想，定义研究问题，提出研究设计，收集和分析数据最终完成研究课题。</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相关专业：市场营销、广告、传媒学、数字媒体、传播学、社会学等</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授课教师：剑桥大学赛尔文学院</w:t>
      </w:r>
      <w:r>
        <w:rPr>
          <w:rFonts w:hint="default" w:ascii="Times New Roman" w:hAnsi="Times New Roman" w:eastAsia="仿宋" w:cs="Times New Roman"/>
          <w:color w:val="000000"/>
          <w:kern w:val="0"/>
          <w:sz w:val="32"/>
          <w:szCs w:val="32"/>
          <w:lang w:val="en-US" w:eastAsia="zh-CN"/>
        </w:rPr>
        <w:t>Patrick</w:t>
      </w:r>
      <w:r>
        <w:rPr>
          <w:rFonts w:hint="eastAsia" w:ascii="Times New Roman" w:hAnsi="Times New Roman" w:eastAsia="仿宋" w:cs="Times New Roman"/>
          <w:color w:val="000000"/>
          <w:kern w:val="0"/>
          <w:sz w:val="32"/>
          <w:szCs w:val="32"/>
          <w:lang w:val="en-US" w:eastAsia="zh-CN"/>
        </w:rPr>
        <w:t>教授</w:t>
      </w:r>
    </w:p>
    <w:p>
      <w:pPr>
        <w:numPr>
          <w:ilvl w:val="0"/>
          <w:numId w:val="1"/>
        </w:numPr>
        <w:spacing w:line="560" w:lineRule="exact"/>
        <w:ind w:left="0" w:leftChars="0" w:firstLine="640" w:firstLineChars="200"/>
        <w:rPr>
          <w:rFonts w:eastAsia="黑体"/>
          <w:bCs/>
          <w:color w:val="000000"/>
          <w:kern w:val="0"/>
          <w:sz w:val="32"/>
          <w:szCs w:val="32"/>
        </w:rPr>
      </w:pPr>
      <w:r>
        <w:rPr>
          <w:rFonts w:hint="eastAsia" w:eastAsia="黑体"/>
          <w:bCs/>
          <w:color w:val="000000"/>
          <w:kern w:val="0"/>
          <w:sz w:val="32"/>
          <w:szCs w:val="32"/>
          <w:lang w:eastAsia="zh-CN"/>
        </w:rPr>
        <w:t>项目</w:t>
      </w:r>
      <w:r>
        <w:rPr>
          <w:rFonts w:eastAsia="黑体"/>
          <w:bCs/>
          <w:color w:val="000000"/>
          <w:kern w:val="0"/>
          <w:sz w:val="32"/>
          <w:szCs w:val="32"/>
        </w:rPr>
        <w:t>时间</w:t>
      </w:r>
    </w:p>
    <w:p>
      <w:pPr>
        <w:spacing w:line="560" w:lineRule="exact"/>
        <w:ind w:right="-57" w:rightChars="-27"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2022年7月30日开始上课。</w:t>
      </w:r>
    </w:p>
    <w:p>
      <w:pPr>
        <w:numPr>
          <w:ilvl w:val="0"/>
          <w:numId w:val="1"/>
        </w:numPr>
        <w:spacing w:line="560" w:lineRule="exact"/>
        <w:ind w:left="0" w:leftChars="0" w:firstLine="640" w:firstLineChars="200"/>
        <w:rPr>
          <w:rFonts w:eastAsia="黑体"/>
          <w:bCs/>
          <w:color w:val="000000"/>
          <w:kern w:val="0"/>
          <w:sz w:val="32"/>
          <w:szCs w:val="32"/>
        </w:rPr>
      </w:pPr>
      <w:r>
        <w:rPr>
          <w:rFonts w:hint="eastAsia" w:eastAsia="黑体"/>
          <w:bCs/>
          <w:color w:val="000000"/>
          <w:kern w:val="0"/>
          <w:sz w:val="32"/>
          <w:szCs w:val="32"/>
          <w:lang w:eastAsia="zh-CN"/>
        </w:rPr>
        <w:t>项目流程</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1．学生报名，提交报名表及个人英文简历。</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2．视频面试。</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3．确定是否录取。</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4．录取后，缴纳项目费用。</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5. 提供课前学习指导，发放授课PPT等相关预习材料。</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6．学习期间</w:t>
      </w:r>
      <w:r>
        <w:rPr>
          <w:rFonts w:hint="eastAsia" w:eastAsia="仿宋" w:cs="Times New Roman"/>
          <w:color w:val="000000"/>
          <w:kern w:val="0"/>
          <w:sz w:val="32"/>
          <w:szCs w:val="32"/>
          <w:lang w:val="en-US" w:eastAsia="zh-CN"/>
        </w:rPr>
        <w:t>，</w:t>
      </w:r>
      <w:r>
        <w:rPr>
          <w:rFonts w:hint="eastAsia" w:ascii="Times New Roman" w:hAnsi="Times New Roman" w:eastAsia="仿宋" w:cs="Times New Roman"/>
          <w:color w:val="000000"/>
          <w:kern w:val="0"/>
          <w:sz w:val="32"/>
          <w:szCs w:val="32"/>
          <w:lang w:val="en-US" w:eastAsia="zh-CN"/>
        </w:rPr>
        <w:t>因与外国有时差，如错过课程，提供课程视频回放，可反复观看。</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7．学习结束，获得教授亲笔签名的推荐信、项目评估报告以及项目结业证书；有意者论文可在CPCI/EI会议等国际刊物发表。</w:t>
      </w:r>
    </w:p>
    <w:p>
      <w:pPr>
        <w:spacing w:line="560" w:lineRule="exact"/>
        <w:ind w:firstLine="640" w:firstLineChars="200"/>
        <w:rPr>
          <w:rFonts w:hint="eastAsia" w:eastAsia="黑体"/>
          <w:bCs/>
          <w:color w:val="000000"/>
          <w:kern w:val="0"/>
          <w:sz w:val="32"/>
          <w:szCs w:val="32"/>
          <w:lang w:eastAsia="zh-CN"/>
        </w:rPr>
      </w:pPr>
      <w:r>
        <w:rPr>
          <w:rFonts w:hint="eastAsia" w:eastAsia="黑体"/>
          <w:bCs/>
          <w:color w:val="000000"/>
          <w:kern w:val="0"/>
          <w:sz w:val="32"/>
          <w:szCs w:val="32"/>
          <w:lang w:eastAsia="zh-CN"/>
        </w:rPr>
        <w:t>五、报名截止时间</w:t>
      </w:r>
    </w:p>
    <w:p>
      <w:pPr>
        <w:spacing w:line="560" w:lineRule="exact"/>
        <w:ind w:right="-57" w:rightChars="-27" w:firstLine="640" w:firstLineChars="200"/>
        <w:rPr>
          <w:rFonts w:hint="default"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报名工作于2022年6月10日截止，请将报名表（附件1）发送至3293848738@qq.com邮箱。</w:t>
      </w:r>
    </w:p>
    <w:p>
      <w:pPr>
        <w:spacing w:line="560" w:lineRule="exact"/>
        <w:ind w:firstLine="640" w:firstLineChars="200"/>
        <w:rPr>
          <w:rFonts w:hint="eastAsia" w:eastAsia="黑体"/>
          <w:bCs/>
          <w:color w:val="000000"/>
          <w:kern w:val="0"/>
          <w:sz w:val="32"/>
          <w:szCs w:val="32"/>
          <w:lang w:eastAsia="zh-CN"/>
        </w:rPr>
      </w:pPr>
      <w:r>
        <w:rPr>
          <w:rFonts w:hint="eastAsia" w:eastAsia="黑体"/>
          <w:bCs/>
          <w:color w:val="000000"/>
          <w:kern w:val="0"/>
          <w:sz w:val="32"/>
          <w:szCs w:val="32"/>
          <w:lang w:eastAsia="zh-CN"/>
        </w:rPr>
        <w:t>六、联系方式</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联系人：任老师</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电  话：025-83335210</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传  真：025-83335214</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电  邮：</w:t>
      </w:r>
      <w:r>
        <w:rPr>
          <w:rFonts w:hint="eastAsia" w:ascii="Times New Roman" w:hAnsi="Times New Roman" w:eastAsia="仿宋" w:cs="Times New Roman"/>
          <w:color w:val="000000"/>
          <w:kern w:val="0"/>
          <w:sz w:val="32"/>
          <w:szCs w:val="32"/>
          <w:lang w:val="en-US" w:eastAsia="zh-CN"/>
        </w:rPr>
        <w:fldChar w:fldCharType="begin"/>
      </w:r>
      <w:r>
        <w:rPr>
          <w:rFonts w:hint="eastAsia" w:ascii="Times New Roman" w:hAnsi="Times New Roman" w:eastAsia="仿宋" w:cs="Times New Roman"/>
          <w:color w:val="000000"/>
          <w:kern w:val="0"/>
          <w:sz w:val="32"/>
          <w:szCs w:val="32"/>
          <w:lang w:val="en-US" w:eastAsia="zh-CN"/>
        </w:rPr>
        <w:instrText xml:space="preserve"> HYPERLINK "mailto:3293848738@qq.com" </w:instrText>
      </w:r>
      <w:r>
        <w:rPr>
          <w:rFonts w:hint="eastAsia" w:ascii="Times New Roman" w:hAnsi="Times New Roman" w:eastAsia="仿宋" w:cs="Times New Roman"/>
          <w:color w:val="000000"/>
          <w:kern w:val="0"/>
          <w:sz w:val="32"/>
          <w:szCs w:val="32"/>
          <w:lang w:val="en-US" w:eastAsia="zh-CN"/>
        </w:rPr>
        <w:fldChar w:fldCharType="separate"/>
      </w:r>
      <w:r>
        <w:rPr>
          <w:rFonts w:hint="eastAsia" w:ascii="Times New Roman" w:hAnsi="Times New Roman" w:eastAsia="仿宋" w:cs="Times New Roman"/>
          <w:color w:val="000000"/>
          <w:kern w:val="0"/>
          <w:sz w:val="32"/>
          <w:szCs w:val="32"/>
          <w:lang w:val="en-US" w:eastAsia="zh-CN"/>
        </w:rPr>
        <w:t>3293848738@qq.com</w:t>
      </w:r>
      <w:r>
        <w:rPr>
          <w:rFonts w:hint="eastAsia" w:ascii="Times New Roman" w:hAnsi="Times New Roman" w:eastAsia="仿宋" w:cs="Times New Roman"/>
          <w:color w:val="000000"/>
          <w:kern w:val="0"/>
          <w:sz w:val="32"/>
          <w:szCs w:val="32"/>
          <w:lang w:val="en-US" w:eastAsia="zh-CN"/>
        </w:rPr>
        <w:fldChar w:fldCharType="end"/>
      </w:r>
    </w:p>
    <w:p>
      <w:pPr>
        <w:spacing w:line="560" w:lineRule="exact"/>
        <w:ind w:right="-57" w:rightChars="-27" w:firstLine="640" w:firstLineChars="200"/>
        <w:rPr>
          <w:rFonts w:hint="default"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QQ群号：1043260113</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地  址：南京市北京西路15号省教育大厦2003办公室</w:t>
      </w:r>
    </w:p>
    <w:p>
      <w:pPr>
        <w:spacing w:line="560" w:lineRule="exact"/>
        <w:ind w:right="-57" w:rightChars="-27" w:firstLine="640" w:firstLineChars="200"/>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邮  编：210024</w:t>
      </w:r>
    </w:p>
    <w:p>
      <w:pPr>
        <w:spacing w:line="560" w:lineRule="exact"/>
        <w:ind w:firstLine="640" w:firstLineChars="200"/>
        <w:jc w:val="left"/>
        <w:rPr>
          <w:rFonts w:eastAsia="仿宋"/>
          <w:color w:val="000000"/>
          <w:kern w:val="0"/>
          <w:sz w:val="32"/>
          <w:szCs w:val="32"/>
        </w:rPr>
      </w:pPr>
    </w:p>
    <w:p>
      <w:pPr>
        <w:spacing w:before="156" w:beforeLines="50"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附件：1.江苏</w:t>
      </w:r>
      <w:r>
        <w:rPr>
          <w:rFonts w:hint="eastAsia" w:ascii="仿宋" w:hAnsi="仿宋" w:eastAsia="仿宋" w:cs="仿宋"/>
          <w:color w:val="000000"/>
          <w:spacing w:val="-60"/>
          <w:kern w:val="0"/>
          <w:sz w:val="32"/>
          <w:szCs w:val="32"/>
        </w:rPr>
        <w:t xml:space="preserve">大  </w:t>
      </w:r>
      <w:r>
        <w:rPr>
          <w:rFonts w:hint="eastAsia" w:ascii="仿宋" w:hAnsi="仿宋" w:eastAsia="仿宋" w:cs="仿宋"/>
          <w:color w:val="000000"/>
          <w:kern w:val="0"/>
          <w:sz w:val="32"/>
          <w:szCs w:val="32"/>
        </w:rPr>
        <w:t>学生</w:t>
      </w:r>
      <w:r>
        <w:rPr>
          <w:rFonts w:hint="eastAsia" w:ascii="仿宋" w:hAnsi="仿宋" w:eastAsia="仿宋" w:cs="仿宋"/>
          <w:color w:val="000000"/>
          <w:kern w:val="0"/>
          <w:sz w:val="32"/>
          <w:szCs w:val="32"/>
          <w:lang w:eastAsia="zh-CN"/>
        </w:rPr>
        <w:t>线上国际课程科研项目</w:t>
      </w:r>
      <w:r>
        <w:rPr>
          <w:rFonts w:hint="eastAsia" w:ascii="仿宋" w:hAnsi="仿宋" w:eastAsia="仿宋" w:cs="仿宋"/>
          <w:color w:val="000000"/>
          <w:kern w:val="0"/>
          <w:sz w:val="32"/>
          <w:szCs w:val="32"/>
        </w:rPr>
        <w:t>报名表</w:t>
      </w:r>
    </w:p>
    <w:p>
      <w:pPr>
        <w:spacing w:line="560" w:lineRule="exact"/>
        <w:ind w:firstLine="1600" w:firstLineChars="5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2.江苏</w:t>
      </w:r>
      <w:r>
        <w:rPr>
          <w:rFonts w:hint="eastAsia" w:ascii="仿宋" w:hAnsi="仿宋" w:eastAsia="仿宋" w:cs="仿宋"/>
          <w:color w:val="000000"/>
          <w:spacing w:val="-60"/>
          <w:kern w:val="0"/>
          <w:sz w:val="32"/>
          <w:szCs w:val="32"/>
        </w:rPr>
        <w:t xml:space="preserve">大  </w:t>
      </w:r>
      <w:r>
        <w:rPr>
          <w:rFonts w:hint="eastAsia" w:ascii="仿宋" w:hAnsi="仿宋" w:eastAsia="仿宋" w:cs="仿宋"/>
          <w:color w:val="000000"/>
          <w:kern w:val="0"/>
          <w:sz w:val="32"/>
          <w:szCs w:val="32"/>
        </w:rPr>
        <w:t>学生</w:t>
      </w:r>
      <w:r>
        <w:rPr>
          <w:rFonts w:hint="eastAsia" w:ascii="仿宋" w:hAnsi="仿宋" w:eastAsia="仿宋" w:cs="仿宋"/>
          <w:color w:val="000000"/>
          <w:kern w:val="0"/>
          <w:sz w:val="32"/>
          <w:szCs w:val="32"/>
          <w:lang w:eastAsia="zh-CN"/>
        </w:rPr>
        <w:t>线上国际课程科研项目详细介绍</w:t>
      </w:r>
      <w:bookmarkStart w:id="1" w:name="_GoBack"/>
      <w:bookmarkEnd w:id="1"/>
    </w:p>
    <w:p>
      <w:pPr>
        <w:spacing w:line="56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3.</w:t>
      </w:r>
      <w:r>
        <w:rPr>
          <w:rFonts w:hint="eastAsia" w:ascii="仿宋" w:hAnsi="仿宋" w:eastAsia="仿宋" w:cs="仿宋"/>
          <w:color w:val="000000"/>
          <w:kern w:val="0"/>
          <w:sz w:val="32"/>
          <w:szCs w:val="32"/>
        </w:rPr>
        <w:t>江苏</w:t>
      </w:r>
      <w:r>
        <w:rPr>
          <w:rFonts w:hint="eastAsia" w:ascii="仿宋" w:hAnsi="仿宋" w:eastAsia="仿宋" w:cs="仿宋"/>
          <w:color w:val="000000"/>
          <w:spacing w:val="-60"/>
          <w:kern w:val="0"/>
          <w:sz w:val="32"/>
          <w:szCs w:val="32"/>
        </w:rPr>
        <w:t xml:space="preserve">大  </w:t>
      </w:r>
      <w:r>
        <w:rPr>
          <w:rFonts w:hint="eastAsia" w:ascii="仿宋" w:hAnsi="仿宋" w:eastAsia="仿宋" w:cs="仿宋"/>
          <w:color w:val="000000"/>
          <w:kern w:val="0"/>
          <w:sz w:val="32"/>
          <w:szCs w:val="32"/>
        </w:rPr>
        <w:t>学生</w:t>
      </w:r>
      <w:r>
        <w:rPr>
          <w:rFonts w:hint="eastAsia" w:ascii="仿宋" w:hAnsi="仿宋" w:eastAsia="仿宋" w:cs="仿宋"/>
          <w:color w:val="000000"/>
          <w:kern w:val="0"/>
          <w:sz w:val="32"/>
          <w:szCs w:val="32"/>
          <w:lang w:eastAsia="zh-CN"/>
        </w:rPr>
        <w:t>线上国际课程</w:t>
      </w:r>
      <w:r>
        <w:rPr>
          <w:rFonts w:hint="eastAsia" w:ascii="仿宋" w:hAnsi="仿宋" w:eastAsia="仿宋" w:cs="仿宋"/>
          <w:color w:val="000000"/>
          <w:kern w:val="0"/>
          <w:sz w:val="32"/>
          <w:szCs w:val="32"/>
          <w:lang w:val="en-US" w:eastAsia="zh-CN"/>
        </w:rPr>
        <w:t>科研项目费用</w:t>
      </w:r>
    </w:p>
    <w:p>
      <w:pPr>
        <w:widowControl/>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widowControl/>
        <w:spacing w:line="560" w:lineRule="exact"/>
        <w:jc w:val="left"/>
        <w:rPr>
          <w:rFonts w:eastAsia="仿宋"/>
          <w:color w:val="000000"/>
          <w:kern w:val="0"/>
          <w:sz w:val="32"/>
          <w:szCs w:val="32"/>
        </w:rPr>
      </w:pPr>
    </w:p>
    <w:p>
      <w:pPr>
        <w:widowControl/>
        <w:spacing w:line="560" w:lineRule="exact"/>
        <w:ind w:firstLine="640" w:firstLineChars="200"/>
        <w:jc w:val="left"/>
        <w:rPr>
          <w:rFonts w:eastAsia="仿宋"/>
          <w:color w:val="000000"/>
          <w:kern w:val="0"/>
          <w:sz w:val="32"/>
          <w:szCs w:val="32"/>
        </w:rPr>
      </w:pPr>
    </w:p>
    <w:p>
      <w:pPr>
        <w:spacing w:line="560" w:lineRule="exact"/>
        <w:ind w:right="-57" w:rightChars="-27" w:firstLine="640" w:firstLineChars="200"/>
        <w:jc w:val="right"/>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江苏省教育国际交流协会</w:t>
      </w:r>
    </w:p>
    <w:p>
      <w:pPr>
        <w:spacing w:line="560" w:lineRule="exact"/>
        <w:ind w:right="-57" w:rightChars="-27" w:firstLine="6080" w:firstLineChars="1900"/>
        <w:jc w:val="both"/>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2022年5月</w:t>
      </w:r>
      <w:r>
        <w:rPr>
          <w:rFonts w:hint="eastAsia" w:eastAsia="仿宋" w:cs="Times New Roman"/>
          <w:color w:val="000000"/>
          <w:kern w:val="0"/>
          <w:sz w:val="32"/>
          <w:szCs w:val="32"/>
          <w:lang w:val="en-US" w:eastAsia="zh-CN"/>
        </w:rPr>
        <w:t>12</w:t>
      </w:r>
      <w:r>
        <w:rPr>
          <w:rFonts w:hint="eastAsia" w:ascii="Times New Roman" w:hAnsi="Times New Roman" w:eastAsia="仿宋" w:cs="Times New Roman"/>
          <w:color w:val="000000"/>
          <w:kern w:val="0"/>
          <w:sz w:val="32"/>
          <w:szCs w:val="32"/>
          <w:lang w:val="en-US" w:eastAsia="zh-CN"/>
        </w:rPr>
        <w:t>日</w:t>
      </w:r>
    </w:p>
    <w:p>
      <w:pPr>
        <w:spacing w:line="560" w:lineRule="exact"/>
        <w:ind w:right="-57" w:rightChars="-27" w:firstLine="640" w:firstLineChars="200"/>
        <w:jc w:val="right"/>
        <w:rPr>
          <w:rFonts w:hint="eastAsia" w:ascii="Times New Roman" w:hAnsi="Times New Roman" w:eastAsia="仿宋" w:cs="Times New Roman"/>
          <w:color w:val="000000"/>
          <w:kern w:val="0"/>
          <w:sz w:val="32"/>
          <w:szCs w:val="32"/>
          <w:lang w:val="en-US" w:eastAsia="zh-CN"/>
        </w:rPr>
      </w:pPr>
    </w:p>
    <w:p>
      <w:pPr>
        <w:rPr>
          <w:rFonts w:eastAsia="黑体"/>
          <w:sz w:val="30"/>
          <w:szCs w:val="30"/>
        </w:rPr>
      </w:pPr>
    </w:p>
    <w:p>
      <w:pPr>
        <w:rPr>
          <w:rFonts w:eastAsia="黑体"/>
          <w:sz w:val="30"/>
          <w:szCs w:val="30"/>
        </w:rPr>
      </w:pPr>
    </w:p>
    <w:p>
      <w:pPr>
        <w:rPr>
          <w:rFonts w:eastAsia="华文中宋"/>
          <w:b/>
          <w:sz w:val="34"/>
          <w:szCs w:val="34"/>
        </w:rPr>
      </w:pPr>
      <w:r>
        <w:rPr>
          <w:rFonts w:eastAsia="黑体"/>
          <w:sz w:val="30"/>
          <w:szCs w:val="30"/>
        </w:rPr>
        <w:t>附件1</w:t>
      </w:r>
      <w:r>
        <w:rPr>
          <w:rFonts w:eastAsia="华文中宋"/>
          <w:b/>
          <w:sz w:val="34"/>
          <w:szCs w:val="34"/>
        </w:rPr>
        <w:t xml:space="preserve"> </w:t>
      </w:r>
    </w:p>
    <w:p>
      <w:pPr>
        <w:spacing w:line="540" w:lineRule="exact"/>
        <w:jc w:val="center"/>
        <w:rPr>
          <w:rFonts w:hint="eastAsia" w:ascii="仿宋" w:hAnsi="仿宋" w:eastAsia="仿宋" w:cs="仿宋"/>
          <w:b/>
          <w:bCs/>
          <w:sz w:val="40"/>
          <w:szCs w:val="40"/>
        </w:rPr>
      </w:pPr>
      <w:r>
        <w:rPr>
          <w:rFonts w:hint="eastAsia" w:ascii="仿宋" w:hAnsi="仿宋" w:eastAsia="仿宋" w:cs="仿宋"/>
          <w:b/>
          <w:bCs/>
          <w:sz w:val="40"/>
          <w:szCs w:val="40"/>
        </w:rPr>
        <w:t>江苏大学生</w:t>
      </w:r>
      <w:r>
        <w:rPr>
          <w:rFonts w:hint="eastAsia" w:ascii="仿宋" w:hAnsi="仿宋" w:eastAsia="仿宋" w:cs="仿宋"/>
          <w:b/>
          <w:bCs/>
          <w:sz w:val="40"/>
          <w:szCs w:val="40"/>
          <w:lang w:eastAsia="zh-CN"/>
        </w:rPr>
        <w:t>线上国际课程科研项目</w:t>
      </w:r>
      <w:r>
        <w:rPr>
          <w:rFonts w:hint="eastAsia" w:ascii="仿宋" w:hAnsi="仿宋" w:eastAsia="仿宋" w:cs="仿宋"/>
          <w:b/>
          <w:bCs/>
          <w:sz w:val="40"/>
          <w:szCs w:val="40"/>
        </w:rPr>
        <w:t>报名表</w:t>
      </w:r>
    </w:p>
    <w:p>
      <w:pPr>
        <w:jc w:val="center"/>
        <w:rPr>
          <w:rFonts w:hint="eastAsia" w:ascii="仿宋" w:hAnsi="仿宋" w:eastAsia="仿宋" w:cs="仿宋"/>
          <w:b/>
          <w:bCs/>
          <w:color w:val="000000"/>
          <w:kern w:val="0"/>
          <w:sz w:val="28"/>
          <w:szCs w:val="28"/>
        </w:rPr>
      </w:pPr>
    </w:p>
    <w:tbl>
      <w:tblPr>
        <w:tblStyle w:val="3"/>
        <w:tblW w:w="5278"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610"/>
        <w:gridCol w:w="2332"/>
        <w:gridCol w:w="2687"/>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5000" w:type="pct"/>
            <w:gridSpan w:val="5"/>
            <w:noWrap/>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学生信息</w:t>
            </w:r>
          </w:p>
          <w:p>
            <w:pPr>
              <w:adjustRightInd w:val="0"/>
              <w:snapToGrid w:val="0"/>
              <w:jc w:val="center"/>
              <w:rPr>
                <w:rFonts w:ascii="Calibri" w:hAnsi="Calibri" w:eastAsia="仿宋" w:cs="仿宋"/>
                <w:color w:val="000000"/>
                <w:kern w:val="0"/>
                <w:sz w:val="22"/>
                <w:szCs w:val="22"/>
              </w:rPr>
            </w:pPr>
            <w:r>
              <w:rPr>
                <w:rFonts w:ascii="Calibri" w:hAnsi="Calibri" w:eastAsia="仿宋" w:cs="仿宋"/>
                <w:color w:val="000000"/>
                <w:kern w:val="0"/>
                <w:sz w:val="22"/>
                <w:szCs w:val="22"/>
              </w:rPr>
              <w:t>Student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0" w:type="pct"/>
            <w:vMerge w:val="restart"/>
            <w:noWrap w:val="0"/>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个人信息</w:t>
            </w:r>
            <w:r>
              <w:rPr>
                <w:rFonts w:ascii="Calibri" w:hAnsi="Calibri" w:eastAsia="仿宋" w:cs="仿宋"/>
                <w:color w:val="000000"/>
                <w:kern w:val="0"/>
                <w:sz w:val="22"/>
                <w:szCs w:val="22"/>
              </w:rPr>
              <w:t>Personal Information</w:t>
            </w:r>
          </w:p>
        </w:tc>
        <w:tc>
          <w:tcPr>
            <w:tcW w:w="1538" w:type="pct"/>
            <w:gridSpan w:val="2"/>
            <w:noWrap w:val="0"/>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名字</w:t>
            </w:r>
            <w:r>
              <w:rPr>
                <w:rFonts w:ascii="Calibri" w:hAnsi="Calibri" w:eastAsia="仿宋" w:cs="仿宋"/>
                <w:color w:val="000000"/>
                <w:kern w:val="0"/>
                <w:sz w:val="22"/>
                <w:szCs w:val="22"/>
              </w:rPr>
              <w:t xml:space="preserve"> </w:t>
            </w:r>
          </w:p>
          <w:p>
            <w:pPr>
              <w:adjustRightInd w:val="0"/>
              <w:snapToGrid w:val="0"/>
              <w:jc w:val="center"/>
              <w:rPr>
                <w:rFonts w:ascii="Calibri" w:hAnsi="Calibri" w:eastAsia="仿宋" w:cs="仿宋"/>
                <w:color w:val="000000"/>
                <w:kern w:val="0"/>
                <w:sz w:val="22"/>
                <w:szCs w:val="22"/>
              </w:rPr>
            </w:pPr>
            <w:r>
              <w:rPr>
                <w:rFonts w:ascii="Calibri" w:hAnsi="Calibri" w:eastAsia="仿宋" w:cs="仿宋"/>
                <w:color w:val="000000"/>
                <w:kern w:val="0"/>
                <w:sz w:val="22"/>
                <w:szCs w:val="22"/>
              </w:rPr>
              <w:t>First Name</w:t>
            </w:r>
          </w:p>
        </w:tc>
        <w:tc>
          <w:tcPr>
            <w:tcW w:w="1405" w:type="pct"/>
            <w:noWrap w:val="0"/>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姓氏</w:t>
            </w:r>
            <w:r>
              <w:rPr>
                <w:rFonts w:ascii="Calibri" w:hAnsi="Calibri" w:eastAsia="仿宋" w:cs="仿宋"/>
                <w:color w:val="000000"/>
                <w:kern w:val="0"/>
                <w:sz w:val="22"/>
                <w:szCs w:val="22"/>
              </w:rPr>
              <w:t xml:space="preserve"> </w:t>
            </w:r>
          </w:p>
          <w:p>
            <w:pPr>
              <w:adjustRightInd w:val="0"/>
              <w:snapToGrid w:val="0"/>
              <w:jc w:val="center"/>
              <w:rPr>
                <w:rFonts w:ascii="Calibri" w:hAnsi="Calibri" w:eastAsia="仿宋" w:cs="仿宋"/>
                <w:color w:val="000000"/>
                <w:kern w:val="0"/>
                <w:sz w:val="22"/>
                <w:szCs w:val="22"/>
              </w:rPr>
            </w:pPr>
            <w:r>
              <w:rPr>
                <w:rFonts w:ascii="Calibri" w:hAnsi="Calibri" w:eastAsia="仿宋" w:cs="仿宋"/>
                <w:color w:val="000000"/>
                <w:kern w:val="0"/>
                <w:sz w:val="22"/>
                <w:szCs w:val="22"/>
              </w:rPr>
              <w:t>Last Name</w:t>
            </w:r>
          </w:p>
        </w:tc>
        <w:tc>
          <w:tcPr>
            <w:tcW w:w="1296" w:type="pct"/>
            <w:noWrap w:val="0"/>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性别</w:t>
            </w:r>
            <w:r>
              <w:rPr>
                <w:rFonts w:ascii="Calibri" w:hAnsi="Calibri" w:eastAsia="仿宋" w:cs="仿宋"/>
                <w:color w:val="000000"/>
                <w:kern w:val="0"/>
                <w:sz w:val="22"/>
                <w:szCs w:val="22"/>
              </w:rPr>
              <w:t xml:space="preserve"> </w:t>
            </w:r>
          </w:p>
          <w:p>
            <w:pPr>
              <w:adjustRightInd w:val="0"/>
              <w:snapToGrid w:val="0"/>
              <w:jc w:val="center"/>
              <w:rPr>
                <w:rFonts w:ascii="Calibri" w:hAnsi="Calibri" w:eastAsia="仿宋" w:cs="仿宋"/>
                <w:color w:val="000000"/>
                <w:kern w:val="0"/>
                <w:sz w:val="22"/>
                <w:szCs w:val="22"/>
              </w:rPr>
            </w:pPr>
            <w:r>
              <w:rPr>
                <w:rFonts w:ascii="Calibri" w:hAnsi="Calibri" w:eastAsia="仿宋" w:cs="仿宋"/>
                <w:color w:val="000000"/>
                <w:kern w:val="0"/>
                <w:sz w:val="22"/>
                <w:szCs w:val="22"/>
              </w:rPr>
              <w:t>Gender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760" w:type="pct"/>
            <w:vMerge w:val="continue"/>
            <w:noWrap w:val="0"/>
            <w:vAlign w:val="center"/>
          </w:tcPr>
          <w:p>
            <w:pPr>
              <w:adjustRightInd w:val="0"/>
              <w:snapToGrid w:val="0"/>
              <w:jc w:val="center"/>
              <w:rPr>
                <w:rFonts w:ascii="Calibri" w:hAnsi="Calibri" w:eastAsia="仿宋" w:cs="仿宋"/>
                <w:color w:val="000000"/>
                <w:kern w:val="0"/>
                <w:sz w:val="22"/>
                <w:szCs w:val="22"/>
              </w:rPr>
            </w:pPr>
          </w:p>
        </w:tc>
        <w:tc>
          <w:tcPr>
            <w:tcW w:w="1538" w:type="pct"/>
            <w:gridSpan w:val="2"/>
            <w:noWrap w:val="0"/>
            <w:vAlign w:val="center"/>
          </w:tcPr>
          <w:p>
            <w:pPr>
              <w:adjustRightInd w:val="0"/>
              <w:snapToGrid w:val="0"/>
              <w:jc w:val="center"/>
              <w:rPr>
                <w:rFonts w:ascii="Calibri" w:hAnsi="Calibri" w:eastAsia="仿宋" w:cs="仿宋"/>
                <w:color w:val="000000"/>
                <w:kern w:val="0"/>
                <w:sz w:val="22"/>
                <w:szCs w:val="22"/>
              </w:rPr>
            </w:pPr>
          </w:p>
        </w:tc>
        <w:tc>
          <w:tcPr>
            <w:tcW w:w="1405" w:type="pct"/>
            <w:noWrap w:val="0"/>
            <w:vAlign w:val="center"/>
          </w:tcPr>
          <w:p>
            <w:pPr>
              <w:adjustRightInd w:val="0"/>
              <w:snapToGrid w:val="0"/>
              <w:jc w:val="center"/>
              <w:rPr>
                <w:rFonts w:ascii="Calibri" w:hAnsi="Calibri" w:eastAsia="仿宋" w:cs="仿宋"/>
                <w:color w:val="000000"/>
                <w:kern w:val="0"/>
                <w:sz w:val="22"/>
                <w:szCs w:val="22"/>
              </w:rPr>
            </w:pPr>
          </w:p>
        </w:tc>
        <w:tc>
          <w:tcPr>
            <w:tcW w:w="1296" w:type="pct"/>
            <w:noWrap w:val="0"/>
            <w:vAlign w:val="center"/>
          </w:tcPr>
          <w:p>
            <w:pPr>
              <w:adjustRightInd w:val="0"/>
              <w:snapToGrid w:val="0"/>
              <w:jc w:val="center"/>
              <w:rPr>
                <w:rFonts w:ascii="Calibri" w:hAnsi="Calibri"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60" w:type="pct"/>
            <w:vMerge w:val="continue"/>
            <w:noWrap w:val="0"/>
            <w:vAlign w:val="center"/>
          </w:tcPr>
          <w:p>
            <w:pPr>
              <w:adjustRightInd w:val="0"/>
              <w:snapToGrid w:val="0"/>
              <w:jc w:val="center"/>
              <w:rPr>
                <w:rFonts w:ascii="Calibri" w:hAnsi="Calibri" w:eastAsia="仿宋" w:cs="仿宋"/>
                <w:color w:val="000000"/>
                <w:kern w:val="0"/>
                <w:sz w:val="22"/>
                <w:szCs w:val="22"/>
              </w:rPr>
            </w:pPr>
          </w:p>
        </w:tc>
        <w:tc>
          <w:tcPr>
            <w:tcW w:w="1538" w:type="pct"/>
            <w:gridSpan w:val="2"/>
            <w:noWrap/>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手机号</w:t>
            </w:r>
            <w:r>
              <w:rPr>
                <w:rFonts w:ascii="Calibri" w:hAnsi="Calibri" w:eastAsia="仿宋" w:cs="仿宋"/>
                <w:color w:val="000000"/>
                <w:kern w:val="0"/>
                <w:sz w:val="22"/>
                <w:szCs w:val="22"/>
              </w:rPr>
              <w:t xml:space="preserve"> </w:t>
            </w:r>
          </w:p>
          <w:p>
            <w:pPr>
              <w:adjustRightInd w:val="0"/>
              <w:snapToGrid w:val="0"/>
              <w:jc w:val="center"/>
              <w:rPr>
                <w:rFonts w:ascii="Calibri" w:hAnsi="Calibri" w:eastAsia="仿宋" w:cs="仿宋"/>
                <w:color w:val="000000"/>
                <w:kern w:val="0"/>
                <w:sz w:val="22"/>
                <w:szCs w:val="22"/>
              </w:rPr>
            </w:pPr>
            <w:r>
              <w:rPr>
                <w:rFonts w:ascii="Calibri" w:hAnsi="Calibri" w:eastAsia="仿宋" w:cs="仿宋"/>
                <w:color w:val="000000"/>
                <w:kern w:val="0"/>
                <w:sz w:val="22"/>
                <w:szCs w:val="22"/>
              </w:rPr>
              <w:t>Phone No.</w:t>
            </w:r>
          </w:p>
        </w:tc>
        <w:tc>
          <w:tcPr>
            <w:tcW w:w="1405" w:type="pct"/>
            <w:noWrap/>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学生电子邮箱</w:t>
            </w:r>
          </w:p>
          <w:p>
            <w:pPr>
              <w:adjustRightInd w:val="0"/>
              <w:snapToGrid w:val="0"/>
              <w:jc w:val="center"/>
              <w:rPr>
                <w:rFonts w:ascii="Calibri" w:hAnsi="Calibri" w:eastAsia="仿宋" w:cs="仿宋"/>
                <w:color w:val="000000"/>
                <w:kern w:val="0"/>
                <w:sz w:val="22"/>
                <w:szCs w:val="22"/>
              </w:rPr>
            </w:pPr>
            <w:r>
              <w:rPr>
                <w:rFonts w:ascii="Calibri" w:hAnsi="Calibri" w:eastAsia="仿宋" w:cs="仿宋"/>
                <w:color w:val="000000"/>
                <w:kern w:val="0"/>
                <w:sz w:val="22"/>
                <w:szCs w:val="22"/>
              </w:rPr>
              <w:t xml:space="preserve"> Student’s E-mail</w:t>
            </w:r>
          </w:p>
        </w:tc>
        <w:tc>
          <w:tcPr>
            <w:tcW w:w="1296" w:type="pct"/>
            <w:noWrap/>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学生微信号</w:t>
            </w:r>
            <w:r>
              <w:rPr>
                <w:rFonts w:ascii="Calibri" w:hAnsi="Calibri" w:eastAsia="仿宋" w:cs="仿宋"/>
                <w:color w:val="000000"/>
                <w:kern w:val="0"/>
                <w:sz w:val="22"/>
                <w:szCs w:val="22"/>
              </w:rPr>
              <w:t xml:space="preserve"> </w:t>
            </w:r>
          </w:p>
          <w:p>
            <w:pPr>
              <w:adjustRightInd w:val="0"/>
              <w:snapToGrid w:val="0"/>
              <w:jc w:val="center"/>
              <w:rPr>
                <w:rFonts w:ascii="Calibri" w:hAnsi="Calibri" w:eastAsia="仿宋" w:cs="仿宋"/>
                <w:color w:val="000000"/>
                <w:kern w:val="0"/>
                <w:sz w:val="22"/>
                <w:szCs w:val="22"/>
              </w:rPr>
            </w:pPr>
            <w:r>
              <w:rPr>
                <w:rFonts w:ascii="Calibri" w:hAnsi="Calibri" w:eastAsia="仿宋" w:cs="仿宋"/>
                <w:color w:val="000000"/>
                <w:kern w:val="0"/>
                <w:sz w:val="22"/>
                <w:szCs w:val="22"/>
              </w:rPr>
              <w:t>WeChat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0" w:type="pct"/>
            <w:vMerge w:val="continue"/>
            <w:noWrap w:val="0"/>
            <w:vAlign w:val="center"/>
          </w:tcPr>
          <w:p>
            <w:pPr>
              <w:adjustRightInd w:val="0"/>
              <w:snapToGrid w:val="0"/>
              <w:jc w:val="center"/>
              <w:rPr>
                <w:rFonts w:ascii="Calibri" w:hAnsi="Calibri" w:eastAsia="仿宋" w:cs="仿宋"/>
                <w:color w:val="000000"/>
                <w:kern w:val="0"/>
                <w:sz w:val="22"/>
                <w:szCs w:val="22"/>
              </w:rPr>
            </w:pPr>
          </w:p>
        </w:tc>
        <w:tc>
          <w:tcPr>
            <w:tcW w:w="1538" w:type="pct"/>
            <w:gridSpan w:val="2"/>
            <w:noWrap/>
            <w:vAlign w:val="center"/>
          </w:tcPr>
          <w:p>
            <w:pPr>
              <w:adjustRightInd w:val="0"/>
              <w:snapToGrid w:val="0"/>
              <w:jc w:val="center"/>
              <w:rPr>
                <w:rFonts w:ascii="Calibri" w:hAnsi="Calibri" w:eastAsia="仿宋" w:cs="仿宋"/>
                <w:color w:val="000000"/>
                <w:kern w:val="0"/>
                <w:sz w:val="22"/>
                <w:szCs w:val="22"/>
              </w:rPr>
            </w:pPr>
          </w:p>
        </w:tc>
        <w:tc>
          <w:tcPr>
            <w:tcW w:w="1405" w:type="pct"/>
            <w:noWrap/>
            <w:vAlign w:val="center"/>
          </w:tcPr>
          <w:p>
            <w:pPr>
              <w:adjustRightInd w:val="0"/>
              <w:snapToGrid w:val="0"/>
              <w:jc w:val="center"/>
              <w:rPr>
                <w:rFonts w:ascii="Calibri" w:hAnsi="Calibri" w:eastAsia="仿宋" w:cs="仿宋"/>
                <w:color w:val="000000"/>
                <w:kern w:val="0"/>
                <w:sz w:val="22"/>
                <w:szCs w:val="22"/>
              </w:rPr>
            </w:pPr>
          </w:p>
        </w:tc>
        <w:tc>
          <w:tcPr>
            <w:tcW w:w="1296" w:type="pct"/>
            <w:noWrap/>
            <w:vAlign w:val="center"/>
          </w:tcPr>
          <w:p>
            <w:pPr>
              <w:adjustRightInd w:val="0"/>
              <w:snapToGrid w:val="0"/>
              <w:jc w:val="center"/>
              <w:rPr>
                <w:rFonts w:ascii="Calibri" w:hAnsi="Calibri"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760" w:type="pct"/>
            <w:vMerge w:val="restart"/>
            <w:noWrap w:val="0"/>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学校信息</w:t>
            </w:r>
            <w:r>
              <w:rPr>
                <w:rFonts w:ascii="Calibri" w:hAnsi="Calibri" w:eastAsia="仿宋" w:cs="仿宋"/>
                <w:color w:val="000000"/>
                <w:kern w:val="0"/>
                <w:sz w:val="22"/>
                <w:szCs w:val="22"/>
              </w:rPr>
              <w:t xml:space="preserve"> School Information</w:t>
            </w:r>
          </w:p>
        </w:tc>
        <w:tc>
          <w:tcPr>
            <w:tcW w:w="1538" w:type="pct"/>
            <w:gridSpan w:val="2"/>
            <w:noWrap/>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学校名称</w:t>
            </w:r>
            <w:r>
              <w:rPr>
                <w:rFonts w:ascii="Calibri" w:hAnsi="Calibri" w:eastAsia="仿宋" w:cs="仿宋"/>
                <w:color w:val="000000"/>
                <w:kern w:val="0"/>
                <w:sz w:val="22"/>
                <w:szCs w:val="22"/>
              </w:rPr>
              <w:t xml:space="preserve"> </w:t>
            </w:r>
          </w:p>
          <w:p>
            <w:pPr>
              <w:adjustRightInd w:val="0"/>
              <w:snapToGrid w:val="0"/>
              <w:jc w:val="center"/>
              <w:rPr>
                <w:rFonts w:ascii="Calibri" w:hAnsi="Calibri" w:eastAsia="仿宋" w:cs="仿宋"/>
                <w:color w:val="000000"/>
                <w:kern w:val="0"/>
                <w:sz w:val="22"/>
                <w:szCs w:val="22"/>
              </w:rPr>
            </w:pPr>
            <w:r>
              <w:rPr>
                <w:rFonts w:ascii="Calibri" w:hAnsi="Calibri" w:eastAsia="仿宋" w:cs="仿宋"/>
                <w:color w:val="000000"/>
                <w:kern w:val="0"/>
                <w:sz w:val="22"/>
                <w:szCs w:val="22"/>
              </w:rPr>
              <w:t>School Name</w:t>
            </w:r>
          </w:p>
        </w:tc>
        <w:tc>
          <w:tcPr>
            <w:tcW w:w="1405" w:type="pct"/>
            <w:noWrap w:val="0"/>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年级</w:t>
            </w:r>
          </w:p>
          <w:p>
            <w:pPr>
              <w:adjustRightInd w:val="0"/>
              <w:snapToGrid w:val="0"/>
              <w:jc w:val="center"/>
              <w:rPr>
                <w:rFonts w:ascii="Calibri" w:hAnsi="Calibri" w:eastAsia="仿宋" w:cs="仿宋"/>
                <w:color w:val="000000"/>
                <w:kern w:val="0"/>
                <w:sz w:val="22"/>
                <w:szCs w:val="22"/>
              </w:rPr>
            </w:pPr>
            <w:r>
              <w:rPr>
                <w:rFonts w:ascii="Calibri" w:hAnsi="Calibri" w:eastAsia="仿宋" w:cs="仿宋"/>
                <w:color w:val="000000"/>
                <w:kern w:val="0"/>
                <w:sz w:val="22"/>
                <w:szCs w:val="22"/>
              </w:rPr>
              <w:t xml:space="preserve"> Grade Level</w:t>
            </w:r>
          </w:p>
        </w:tc>
        <w:tc>
          <w:tcPr>
            <w:tcW w:w="1296" w:type="pct"/>
            <w:noWrap/>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专业</w:t>
            </w:r>
          </w:p>
          <w:p>
            <w:pPr>
              <w:adjustRightInd w:val="0"/>
              <w:snapToGrid w:val="0"/>
              <w:jc w:val="center"/>
              <w:rPr>
                <w:rFonts w:ascii="Calibri" w:hAnsi="Calibri" w:eastAsia="仿宋" w:cs="仿宋"/>
                <w:color w:val="000000"/>
                <w:kern w:val="0"/>
                <w:sz w:val="22"/>
                <w:szCs w:val="22"/>
              </w:rPr>
            </w:pPr>
            <w:r>
              <w:rPr>
                <w:rFonts w:ascii="Calibri" w:hAnsi="Calibri" w:eastAsia="仿宋" w:cs="仿宋"/>
                <w:color w:val="000000"/>
                <w:kern w:val="0"/>
                <w:sz w:val="22"/>
                <w:szCs w:val="22"/>
              </w:rPr>
              <w:t xml:space="preserve">Major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0" w:type="pct"/>
            <w:vMerge w:val="continue"/>
            <w:noWrap w:val="0"/>
            <w:vAlign w:val="center"/>
          </w:tcPr>
          <w:p>
            <w:pPr>
              <w:adjustRightInd w:val="0"/>
              <w:snapToGrid w:val="0"/>
              <w:jc w:val="center"/>
              <w:rPr>
                <w:rFonts w:ascii="Calibri" w:hAnsi="Calibri" w:eastAsia="仿宋" w:cs="仿宋"/>
                <w:color w:val="000000"/>
                <w:kern w:val="0"/>
                <w:sz w:val="22"/>
                <w:szCs w:val="22"/>
              </w:rPr>
            </w:pPr>
          </w:p>
        </w:tc>
        <w:tc>
          <w:tcPr>
            <w:tcW w:w="1538" w:type="pct"/>
            <w:gridSpan w:val="2"/>
            <w:noWrap/>
            <w:vAlign w:val="center"/>
          </w:tcPr>
          <w:p>
            <w:pPr>
              <w:adjustRightInd w:val="0"/>
              <w:snapToGrid w:val="0"/>
              <w:jc w:val="center"/>
              <w:rPr>
                <w:rFonts w:ascii="Calibri" w:hAnsi="Calibri" w:eastAsia="仿宋" w:cs="仿宋"/>
                <w:color w:val="000000"/>
                <w:kern w:val="0"/>
                <w:sz w:val="22"/>
                <w:szCs w:val="22"/>
              </w:rPr>
            </w:pPr>
          </w:p>
        </w:tc>
        <w:tc>
          <w:tcPr>
            <w:tcW w:w="1405" w:type="pct"/>
            <w:noWrap/>
            <w:vAlign w:val="center"/>
          </w:tcPr>
          <w:p>
            <w:pPr>
              <w:adjustRightInd w:val="0"/>
              <w:snapToGrid w:val="0"/>
              <w:jc w:val="center"/>
              <w:rPr>
                <w:rFonts w:ascii="Calibri" w:hAnsi="Calibri" w:eastAsia="仿宋" w:cs="仿宋"/>
                <w:color w:val="000000"/>
                <w:kern w:val="0"/>
                <w:sz w:val="22"/>
                <w:szCs w:val="22"/>
              </w:rPr>
            </w:pPr>
          </w:p>
        </w:tc>
        <w:tc>
          <w:tcPr>
            <w:tcW w:w="1296" w:type="pct"/>
            <w:noWrap/>
            <w:vAlign w:val="center"/>
          </w:tcPr>
          <w:p>
            <w:pPr>
              <w:adjustRightInd w:val="0"/>
              <w:snapToGrid w:val="0"/>
              <w:jc w:val="center"/>
              <w:rPr>
                <w:rFonts w:ascii="Calibri" w:hAnsi="Calibri"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760" w:type="pct"/>
            <w:vMerge w:val="restart"/>
            <w:noWrap w:val="0"/>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其它信息</w:t>
            </w:r>
          </w:p>
          <w:p>
            <w:pPr>
              <w:adjustRightInd w:val="0"/>
              <w:snapToGrid w:val="0"/>
              <w:jc w:val="center"/>
              <w:rPr>
                <w:rFonts w:ascii="Calibri" w:hAnsi="Calibri" w:eastAsia="仿宋" w:cs="仿宋"/>
                <w:color w:val="000000"/>
                <w:kern w:val="0"/>
                <w:sz w:val="22"/>
                <w:szCs w:val="22"/>
              </w:rPr>
            </w:pPr>
            <w:r>
              <w:rPr>
                <w:rFonts w:ascii="Calibri" w:hAnsi="Calibri" w:eastAsia="仿宋" w:cs="仿宋"/>
                <w:color w:val="000000"/>
                <w:kern w:val="0"/>
                <w:sz w:val="22"/>
                <w:szCs w:val="22"/>
              </w:rPr>
              <w:t>Other Information</w:t>
            </w:r>
          </w:p>
        </w:tc>
        <w:tc>
          <w:tcPr>
            <w:tcW w:w="4239" w:type="pct"/>
            <w:gridSpan w:val="4"/>
            <w:noWrap/>
            <w:vAlign w:val="center"/>
          </w:tcPr>
          <w:p>
            <w:pPr>
              <w:adjustRightInd w:val="0"/>
              <w:snapToGrid w:val="0"/>
              <w:jc w:val="center"/>
              <w:rPr>
                <w:rFonts w:ascii="Calibri" w:hAnsi="Calibri" w:eastAsia="仿宋" w:cs="仿宋"/>
                <w:color w:val="000000"/>
                <w:kern w:val="0"/>
                <w:sz w:val="22"/>
                <w:szCs w:val="22"/>
              </w:rPr>
            </w:pPr>
            <w:r>
              <w:rPr>
                <w:rFonts w:hint="eastAsia" w:ascii="Calibri" w:hAnsi="仿宋" w:eastAsia="仿宋" w:cs="仿宋"/>
                <w:color w:val="000000"/>
                <w:kern w:val="0"/>
                <w:sz w:val="22"/>
                <w:szCs w:val="22"/>
              </w:rPr>
              <w:t>标准化测试成绩</w:t>
            </w:r>
          </w:p>
          <w:p>
            <w:pPr>
              <w:adjustRightInd w:val="0"/>
              <w:snapToGrid w:val="0"/>
              <w:jc w:val="center"/>
              <w:rPr>
                <w:rFonts w:ascii="Calibri" w:hAnsi="Calibri" w:eastAsia="仿宋" w:cs="仿宋"/>
                <w:color w:val="000000"/>
                <w:kern w:val="0"/>
                <w:sz w:val="22"/>
                <w:szCs w:val="22"/>
              </w:rPr>
            </w:pPr>
            <w:r>
              <w:rPr>
                <w:rFonts w:ascii="Calibri" w:hAnsi="Calibri" w:eastAsia="仿宋" w:cs="仿宋"/>
                <w:color w:val="000000"/>
                <w:kern w:val="0"/>
                <w:sz w:val="22"/>
                <w:szCs w:val="22"/>
              </w:rPr>
              <w:t xml:space="preserve">English </w:t>
            </w:r>
            <w:r>
              <w:rPr>
                <w:rFonts w:hint="eastAsia" w:ascii="Calibri" w:hAnsi="Calibri" w:eastAsia="仿宋" w:cs="仿宋"/>
                <w:color w:val="000000"/>
                <w:kern w:val="0"/>
                <w:sz w:val="22"/>
                <w:szCs w:val="22"/>
              </w:rPr>
              <w:t>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trPr>
        <w:tc>
          <w:tcPr>
            <w:tcW w:w="760" w:type="pct"/>
            <w:vMerge w:val="continue"/>
            <w:noWrap w:val="0"/>
            <w:vAlign w:val="center"/>
          </w:tcPr>
          <w:p>
            <w:pPr>
              <w:adjustRightInd w:val="0"/>
              <w:snapToGrid w:val="0"/>
              <w:jc w:val="center"/>
              <w:rPr>
                <w:rFonts w:ascii="Calibri" w:hAnsi="Calibri" w:eastAsia="仿宋" w:cs="仿宋"/>
                <w:color w:val="000000"/>
                <w:kern w:val="0"/>
                <w:sz w:val="22"/>
                <w:szCs w:val="22"/>
              </w:rPr>
            </w:pPr>
          </w:p>
        </w:tc>
        <w:tc>
          <w:tcPr>
            <w:tcW w:w="4239" w:type="pct"/>
            <w:gridSpan w:val="4"/>
            <w:noWrap/>
            <w:vAlign w:val="center"/>
          </w:tcPr>
          <w:p>
            <w:pPr>
              <w:adjustRightInd w:val="0"/>
              <w:snapToGrid w:val="0"/>
              <w:rPr>
                <w:rFonts w:hint="eastAsia" w:ascii="Calibri" w:hAnsi="Calibri" w:eastAsia="仿宋" w:cs="仿宋"/>
                <w:color w:val="000000"/>
                <w:kern w:val="0"/>
                <w:sz w:val="22"/>
                <w:szCs w:val="22"/>
              </w:rPr>
            </w:pPr>
            <w:r>
              <w:rPr>
                <w:rFonts w:hint="eastAsia" w:ascii="Calibri" w:hAnsi="Calibri" w:eastAsia="仿宋" w:cs="仿宋"/>
                <w:color w:val="000000"/>
                <w:kern w:val="0"/>
                <w:sz w:val="22"/>
                <w:szCs w:val="22"/>
              </w:rPr>
              <w:t>□大学四级 □大学六级 □专业四级 □专业八级</w:t>
            </w:r>
          </w:p>
          <w:p>
            <w:pPr>
              <w:adjustRightInd w:val="0"/>
              <w:snapToGrid w:val="0"/>
              <w:rPr>
                <w:rFonts w:ascii="Calibri" w:hAnsi="Calibri" w:eastAsia="仿宋" w:cs="仿宋"/>
                <w:color w:val="000000"/>
                <w:kern w:val="0"/>
                <w:sz w:val="22"/>
                <w:szCs w:val="22"/>
              </w:rPr>
            </w:pPr>
            <w:r>
              <w:rPr>
                <w:rFonts w:hint="eastAsia" w:ascii="Calibri" w:hAnsi="Calibri" w:eastAsia="仿宋" w:cs="仿宋"/>
                <w:color w:val="000000"/>
                <w:kern w:val="0"/>
                <w:sz w:val="22"/>
                <w:szCs w:val="22"/>
              </w:rPr>
              <w:t>雅思______ 托福______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000" w:type="pct"/>
            <w:gridSpan w:val="5"/>
            <w:noWrap/>
            <w:vAlign w:val="center"/>
          </w:tcPr>
          <w:p>
            <w:pPr>
              <w:adjustRightInd w:val="0"/>
              <w:snapToGrid w:val="0"/>
              <w:jc w:val="center"/>
              <w:rPr>
                <w:rFonts w:ascii="Calibri" w:hAnsi="Calibri" w:eastAsia="仿宋" w:cs="仿宋"/>
                <w:color w:val="000000"/>
                <w:kern w:val="0"/>
                <w:sz w:val="22"/>
                <w:szCs w:val="22"/>
              </w:rPr>
            </w:pPr>
            <w:r>
              <w:rPr>
                <w:rFonts w:ascii="Calibri" w:hAnsi="仿宋" w:eastAsia="仿宋" w:cs="仿宋"/>
                <w:color w:val="000000"/>
                <w:kern w:val="0"/>
                <w:sz w:val="22"/>
                <w:szCs w:val="22"/>
              </w:rPr>
              <w:t>情况说明</w:t>
            </w:r>
            <w:r>
              <w:rPr>
                <w:rFonts w:ascii="Calibri" w:hAnsi="Calibri" w:eastAsia="仿宋" w:cs="仿宋"/>
                <w:color w:val="000000"/>
                <w:kern w:val="0"/>
                <w:sz w:val="22"/>
                <w:szCs w:val="22"/>
              </w:rPr>
              <w:t xml:space="preserve"> </w:t>
            </w:r>
          </w:p>
          <w:p>
            <w:pPr>
              <w:adjustRightInd w:val="0"/>
              <w:snapToGrid w:val="0"/>
              <w:jc w:val="center"/>
              <w:rPr>
                <w:rFonts w:ascii="Calibri" w:hAnsi="Calibri" w:eastAsia="仿宋" w:cs="仿宋"/>
                <w:color w:val="000000"/>
                <w:kern w:val="0"/>
                <w:sz w:val="22"/>
                <w:szCs w:val="22"/>
              </w:rPr>
            </w:pPr>
            <w:r>
              <w:rPr>
                <w:rFonts w:ascii="Calibri" w:hAnsi="Calibri" w:eastAsia="仿宋" w:cs="仿宋"/>
                <w:color w:val="000000"/>
                <w:kern w:val="0"/>
                <w:sz w:val="22"/>
                <w:szCs w:val="22"/>
              </w:rPr>
              <w:t>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079" w:type="pct"/>
            <w:gridSpan w:val="2"/>
            <w:noWrap w:val="0"/>
            <w:vAlign w:val="center"/>
          </w:tcPr>
          <w:p>
            <w:pPr>
              <w:adjustRightInd w:val="0"/>
              <w:snapToGrid w:val="0"/>
              <w:jc w:val="center"/>
              <w:rPr>
                <w:rFonts w:ascii="Calibri" w:hAnsi="Calibri" w:eastAsia="仿宋" w:cs="仿宋"/>
                <w:color w:val="000000"/>
                <w:kern w:val="0"/>
                <w:szCs w:val="21"/>
              </w:rPr>
            </w:pPr>
            <w:r>
              <w:rPr>
                <w:rFonts w:ascii="Calibri" w:hAnsi="仿宋" w:eastAsia="仿宋" w:cs="仿宋"/>
                <w:color w:val="000000"/>
                <w:kern w:val="0"/>
                <w:szCs w:val="21"/>
              </w:rPr>
              <w:t>申请项目名称</w:t>
            </w:r>
          </w:p>
          <w:p>
            <w:pPr>
              <w:adjustRightInd w:val="0"/>
              <w:snapToGrid w:val="0"/>
              <w:jc w:val="center"/>
              <w:rPr>
                <w:rFonts w:ascii="Calibri" w:hAnsi="Calibri" w:eastAsia="仿宋" w:cs="仿宋"/>
                <w:color w:val="000000"/>
                <w:kern w:val="0"/>
                <w:szCs w:val="21"/>
              </w:rPr>
            </w:pPr>
            <w:r>
              <w:rPr>
                <w:rFonts w:ascii="Calibri" w:hAnsi="Calibri" w:eastAsia="仿宋" w:cs="仿宋"/>
                <w:color w:val="000000"/>
                <w:kern w:val="0"/>
                <w:szCs w:val="21"/>
              </w:rPr>
              <w:t>Program Name</w:t>
            </w:r>
          </w:p>
        </w:tc>
        <w:tc>
          <w:tcPr>
            <w:tcW w:w="3920" w:type="pct"/>
            <w:gridSpan w:val="3"/>
            <w:noWrap w:val="0"/>
            <w:vAlign w:val="center"/>
          </w:tcPr>
          <w:p>
            <w:pPr>
              <w:adjustRightInd w:val="0"/>
              <w:snapToGrid w:val="0"/>
              <w:spacing w:line="360" w:lineRule="auto"/>
              <w:rPr>
                <w:rFonts w:hint="eastAsia" w:ascii="Calibri" w:hAnsi="Calibri" w:eastAsia="仿宋" w:cs="仿宋"/>
                <w:color w:val="000000"/>
                <w:kern w:val="0"/>
                <w:szCs w:val="21"/>
              </w:rPr>
            </w:pPr>
            <w:r>
              <w:rPr>
                <w:rFonts w:hint="eastAsia" w:ascii="Calibri" w:hAnsi="Calibri" w:eastAsia="仿宋" w:cs="仿宋"/>
                <w:color w:val="000000"/>
                <w:kern w:val="0"/>
                <w:szCs w:val="21"/>
              </w:rPr>
              <w:t>1.</w:t>
            </w:r>
          </w:p>
          <w:p>
            <w:pPr>
              <w:adjustRightInd w:val="0"/>
              <w:snapToGrid w:val="0"/>
              <w:spacing w:line="360" w:lineRule="auto"/>
              <w:rPr>
                <w:rFonts w:hint="eastAsia" w:ascii="Calibri" w:hAnsi="Calibri" w:eastAsia="仿宋" w:cs="仿宋"/>
                <w:color w:val="000000"/>
                <w:kern w:val="0"/>
                <w:szCs w:val="21"/>
              </w:rPr>
            </w:pPr>
            <w:r>
              <w:rPr>
                <w:rFonts w:hint="eastAsia" w:ascii="Calibri" w:hAnsi="Calibri" w:eastAsia="仿宋" w:cs="仿宋"/>
                <w:color w:val="000000"/>
                <w:kern w:val="0"/>
                <w:szCs w:val="21"/>
              </w:rPr>
              <w:t>2.</w:t>
            </w:r>
          </w:p>
          <w:p>
            <w:pPr>
              <w:adjustRightInd w:val="0"/>
              <w:snapToGrid w:val="0"/>
              <w:spacing w:line="360" w:lineRule="auto"/>
              <w:rPr>
                <w:rFonts w:ascii="Calibri" w:hAnsi="Calibri" w:eastAsia="仿宋" w:cs="仿宋"/>
                <w:color w:val="000000"/>
                <w:kern w:val="0"/>
                <w:szCs w:val="21"/>
              </w:rPr>
            </w:pPr>
            <w:r>
              <w:rPr>
                <w:rFonts w:hint="eastAsia" w:ascii="Calibri" w:hAnsi="Calibri" w:eastAsia="仿宋" w:cs="仿宋"/>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079" w:type="pct"/>
            <w:gridSpan w:val="2"/>
            <w:noWrap w:val="0"/>
            <w:vAlign w:val="center"/>
          </w:tcPr>
          <w:p>
            <w:pPr>
              <w:adjustRightInd w:val="0"/>
              <w:snapToGrid w:val="0"/>
              <w:jc w:val="center"/>
              <w:rPr>
                <w:rFonts w:ascii="Calibri" w:hAnsi="Calibri" w:eastAsia="仿宋" w:cs="仿宋"/>
                <w:color w:val="000000"/>
                <w:kern w:val="0"/>
                <w:szCs w:val="21"/>
              </w:rPr>
            </w:pPr>
            <w:r>
              <w:rPr>
                <w:rFonts w:ascii="Calibri" w:hAnsi="仿宋" w:eastAsia="仿宋" w:cs="仿宋"/>
                <w:color w:val="000000"/>
                <w:kern w:val="0"/>
                <w:szCs w:val="21"/>
              </w:rPr>
              <w:t>其他说明</w:t>
            </w:r>
          </w:p>
          <w:p>
            <w:pPr>
              <w:adjustRightInd w:val="0"/>
              <w:snapToGrid w:val="0"/>
              <w:jc w:val="center"/>
              <w:rPr>
                <w:rFonts w:ascii="Calibri" w:hAnsi="Calibri" w:eastAsia="仿宋" w:cs="仿宋"/>
                <w:color w:val="000000"/>
                <w:kern w:val="0"/>
                <w:szCs w:val="21"/>
              </w:rPr>
            </w:pPr>
            <w:r>
              <w:rPr>
                <w:rFonts w:ascii="Calibri" w:hAnsi="Calibri" w:eastAsia="仿宋" w:cs="仿宋"/>
                <w:color w:val="000000"/>
                <w:kern w:val="0"/>
                <w:szCs w:val="21"/>
              </w:rPr>
              <w:t>Other</w:t>
            </w:r>
          </w:p>
        </w:tc>
        <w:tc>
          <w:tcPr>
            <w:tcW w:w="3920" w:type="pct"/>
            <w:gridSpan w:val="3"/>
            <w:noWrap w:val="0"/>
            <w:vAlign w:val="center"/>
          </w:tcPr>
          <w:p>
            <w:pPr>
              <w:adjustRightInd w:val="0"/>
              <w:snapToGrid w:val="0"/>
              <w:jc w:val="center"/>
              <w:rPr>
                <w:rFonts w:ascii="Calibri" w:hAnsi="Calibri" w:eastAsia="仿宋" w:cs="仿宋"/>
                <w:color w:val="000000"/>
                <w:kern w:val="0"/>
                <w:szCs w:val="21"/>
              </w:rPr>
            </w:pPr>
          </w:p>
        </w:tc>
      </w:tr>
    </w:tbl>
    <w:p>
      <w:pPr>
        <w:rPr>
          <w:rFonts w:ascii="Times New Roman" w:hAnsi="Times New Roman" w:eastAsia="宋体" w:cs="Times New Roman"/>
          <w:b/>
          <w:bCs/>
          <w:color w:val="000000"/>
          <w:kern w:val="0"/>
          <w:sz w:val="21"/>
          <w:szCs w:val="21"/>
        </w:rPr>
      </w:pPr>
    </w:p>
    <w:p>
      <w:pPr>
        <w:rPr>
          <w:rFonts w:ascii="Times New Roman" w:hAnsi="Times New Roman" w:eastAsia="宋体" w:cs="Times New Roman"/>
          <w:b/>
          <w:bCs/>
          <w:color w:val="000000"/>
          <w:kern w:val="0"/>
          <w:sz w:val="21"/>
          <w:szCs w:val="21"/>
        </w:rPr>
      </w:pPr>
      <w:r>
        <w:rPr>
          <w:rFonts w:ascii="Times New Roman" w:hAnsi="Times New Roman" w:eastAsia="宋体" w:cs="Times New Roman"/>
          <w:b/>
          <w:bCs/>
          <w:color w:val="000000"/>
          <w:kern w:val="0"/>
          <w:sz w:val="21"/>
          <w:szCs w:val="21"/>
        </w:rPr>
        <w:t>*</w:t>
      </w:r>
      <w:r>
        <w:rPr>
          <w:rFonts w:hint="eastAsia" w:cs="Times New Roman"/>
          <w:b/>
          <w:bCs/>
          <w:color w:val="000000"/>
          <w:kern w:val="0"/>
          <w:sz w:val="21"/>
          <w:szCs w:val="21"/>
          <w:lang w:eastAsia="zh-CN"/>
        </w:rPr>
        <w:t>表格请用英文填写，</w:t>
      </w:r>
      <w:r>
        <w:rPr>
          <w:rFonts w:ascii="Times New Roman" w:hAnsi="Times New Roman" w:eastAsia="宋体" w:cs="Times New Roman"/>
          <w:b/>
          <w:bCs/>
          <w:color w:val="000000"/>
          <w:kern w:val="0"/>
          <w:sz w:val="21"/>
          <w:szCs w:val="21"/>
        </w:rPr>
        <w:t>申请人附</w:t>
      </w:r>
      <w:r>
        <w:rPr>
          <w:rFonts w:hint="eastAsia" w:ascii="Times New Roman" w:hAnsi="Times New Roman" w:eastAsia="宋体" w:cs="Times New Roman"/>
          <w:b/>
          <w:bCs/>
          <w:color w:val="000000"/>
          <w:kern w:val="0"/>
          <w:sz w:val="21"/>
          <w:szCs w:val="21"/>
        </w:rPr>
        <w:t>英文</w:t>
      </w:r>
      <w:r>
        <w:rPr>
          <w:rFonts w:ascii="Times New Roman" w:hAnsi="Times New Roman" w:eastAsia="宋体" w:cs="Times New Roman"/>
          <w:b/>
          <w:bCs/>
          <w:color w:val="000000"/>
          <w:kern w:val="0"/>
          <w:sz w:val="21"/>
          <w:szCs w:val="21"/>
        </w:rPr>
        <w:t>简历共同提交</w:t>
      </w:r>
    </w:p>
    <w:p>
      <w:pPr>
        <w:rPr>
          <w:rFonts w:eastAsia="华文中宋"/>
          <w:b/>
          <w:bCs w:val="0"/>
          <w:sz w:val="34"/>
          <w:szCs w:val="34"/>
        </w:rPr>
      </w:pPr>
      <w:r>
        <w:rPr>
          <w:rFonts w:eastAsia="黑体"/>
          <w:sz w:val="30"/>
          <w:szCs w:val="30"/>
        </w:rPr>
        <w:t>附件</w:t>
      </w:r>
      <w:r>
        <w:rPr>
          <w:rFonts w:hint="eastAsia" w:eastAsia="黑体"/>
          <w:sz w:val="30"/>
          <w:szCs w:val="30"/>
          <w:lang w:val="en-US" w:eastAsia="zh-CN"/>
        </w:rPr>
        <w:t>2</w:t>
      </w:r>
      <w:r>
        <w:rPr>
          <w:rFonts w:eastAsia="华文中宋"/>
          <w:b/>
          <w:sz w:val="34"/>
          <w:szCs w:val="34"/>
        </w:rPr>
        <w:t xml:space="preserve"> </w:t>
      </w:r>
    </w:p>
    <w:p>
      <w:pPr>
        <w:spacing w:line="540" w:lineRule="exact"/>
        <w:jc w:val="center"/>
        <w:rPr>
          <w:rFonts w:hint="eastAsia" w:ascii="仿宋" w:hAnsi="仿宋" w:eastAsia="仿宋" w:cs="仿宋"/>
          <w:b/>
          <w:bCs w:val="0"/>
          <w:sz w:val="40"/>
          <w:szCs w:val="40"/>
          <w:lang w:eastAsia="zh-CN"/>
        </w:rPr>
      </w:pPr>
      <w:r>
        <w:rPr>
          <w:rFonts w:hint="eastAsia" w:ascii="仿宋" w:hAnsi="仿宋" w:eastAsia="仿宋" w:cs="仿宋"/>
          <w:b/>
          <w:bCs w:val="0"/>
          <w:sz w:val="40"/>
          <w:szCs w:val="40"/>
        </w:rPr>
        <w:t>江苏大学生</w:t>
      </w:r>
      <w:r>
        <w:rPr>
          <w:rFonts w:hint="eastAsia" w:ascii="仿宋" w:hAnsi="仿宋" w:eastAsia="仿宋" w:cs="仿宋"/>
          <w:b/>
          <w:bCs w:val="0"/>
          <w:sz w:val="40"/>
          <w:szCs w:val="40"/>
          <w:lang w:eastAsia="zh-CN"/>
        </w:rPr>
        <w:t>线上国际课程</w:t>
      </w:r>
    </w:p>
    <w:p>
      <w:pPr>
        <w:spacing w:line="540" w:lineRule="exact"/>
        <w:jc w:val="center"/>
        <w:rPr>
          <w:rFonts w:hint="eastAsia" w:ascii="仿宋" w:hAnsi="仿宋" w:eastAsia="仿宋" w:cs="仿宋"/>
          <w:b/>
          <w:bCs w:val="0"/>
          <w:sz w:val="40"/>
          <w:szCs w:val="40"/>
          <w:lang w:eastAsia="zh-CN"/>
        </w:rPr>
      </w:pPr>
      <w:r>
        <w:rPr>
          <w:rFonts w:hint="eastAsia" w:ascii="仿宋" w:hAnsi="仿宋" w:eastAsia="仿宋" w:cs="仿宋"/>
          <w:b/>
          <w:bCs w:val="0"/>
          <w:sz w:val="40"/>
          <w:szCs w:val="40"/>
          <w:lang w:eastAsia="zh-CN"/>
        </w:rPr>
        <w:t>科研项目介绍</w:t>
      </w:r>
    </w:p>
    <w:p>
      <w:pPr>
        <w:spacing w:line="540" w:lineRule="exact"/>
        <w:jc w:val="center"/>
        <w:rPr>
          <w:rFonts w:hint="default" w:ascii="仿宋" w:hAnsi="仿宋" w:eastAsia="仿宋" w:cs="仿宋"/>
          <w:b/>
          <w:bCs/>
          <w:sz w:val="40"/>
          <w:szCs w:val="40"/>
          <w:lang w:val="en-US" w:eastAsia="zh-CN"/>
        </w:rPr>
      </w:pP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一、《全球化趋势下的教育与公共政策研究》</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 xml:space="preserve">项目背景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教育及学校教育长期以来一直与国际化和经济全球一体化的进程密切相关。近年来，各国政府也越来越多地参与全球教育交流与政策制定，参与相关国际或区域性组织发起的论坛讨论。例如：经济合作与发展组织(OECD)、7国集团(G7)、世界银行、欧洲联盟(欧盟)、世界贸易组织(WTO)、东南亚国家联盟(ASEAN)等。各国间的教育体制表现形式成为关注的重要问题，教育的成功在很大程度上反映出经济竞争力的强弱。自上世纪80年代以来，如何提供更加优质的教育和培训一直为各国政府所关注，各国政府都在努力探寻既能保证质量，又具经济性的教育改革之路，采取相关措施调整教育政策进而提高教育的效率。美国和英国等发达国家正是在此背景下，大力推进国内教育市场化。2000年，国际学生评估项目PISA (OECD举办的大型国际性教育成果比较和监控项目)开始提供一种比较各国教育质量的方法与途径。在本课程中，授课教授将带领我们共同探讨全球化趋势下的教育与公共政策的宏观及微观问题，即教育政策和社会关系在社会内部及社会之间的动态变化。</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 xml:space="preserve">项目介绍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课程重在培养全球化背景下学生信息筛选能力及正确的思考方式；提高批判性思维及分析能力；提升对于教育理论、公共政策及相互间关系的理解；通过训练掌握复杂问题的表达方式及全球格局角度下的思维方式。</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3.相关</w:t>
      </w:r>
      <w:r>
        <w:rPr>
          <w:rFonts w:hint="eastAsia" w:ascii="仿宋" w:hAnsi="仿宋" w:eastAsia="仿宋" w:cs="仿宋"/>
          <w:b/>
          <w:bCs/>
          <w:sz w:val="28"/>
          <w:szCs w:val="28"/>
          <w:lang w:eastAsia="zh-CN"/>
        </w:rPr>
        <w:t xml:space="preserve">专业 </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教育学、公共政策、国际关系、全球治理</w:t>
      </w:r>
      <w:r>
        <w:rPr>
          <w:rFonts w:hint="eastAsia" w:ascii="仿宋" w:hAnsi="仿宋" w:eastAsia="仿宋" w:cs="仿宋"/>
          <w:sz w:val="28"/>
          <w:szCs w:val="28"/>
          <w:lang w:val="en-US" w:eastAsia="zh-CN"/>
        </w:rPr>
        <w:t>等相关专业的学生。</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授课教师</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牛津大学</w:t>
      </w:r>
      <w:r>
        <w:rPr>
          <w:rFonts w:hint="eastAsia" w:ascii="仿宋" w:hAnsi="仿宋" w:eastAsia="仿宋" w:cs="仿宋"/>
          <w:sz w:val="28"/>
          <w:szCs w:val="28"/>
          <w:lang w:eastAsia="zh-CN"/>
        </w:rPr>
        <w:t>哈里斯曼彻斯特学院Liam Francis Gearon</w:t>
      </w:r>
      <w:r>
        <w:rPr>
          <w:rFonts w:hint="eastAsia" w:ascii="仿宋" w:hAnsi="仿宋" w:eastAsia="仿宋" w:cs="仿宋"/>
          <w:sz w:val="28"/>
          <w:szCs w:val="28"/>
          <w:lang w:val="en-US" w:eastAsia="zh-CN"/>
        </w:rPr>
        <w:t>教授</w:t>
      </w:r>
    </w:p>
    <w:p>
      <w:pPr>
        <w:pStyle w:val="2"/>
        <w:keepNext w:val="0"/>
        <w:keepLines w:val="0"/>
        <w:widowControl/>
        <w:suppressLineNumbers w:val="0"/>
        <w:spacing w:before="0" w:beforeAutospacing="0" w:after="0" w:afterAutospacing="0"/>
        <w:ind w:left="0"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他是牛津大学教育系教授，牛津大学哈里斯曼彻斯特学院高级研究员、澳大利亚纽卡斯尔大学联合教授、爱尔兰天主教研究中心访问教授，</w:t>
      </w:r>
    </w:p>
    <w:p>
      <w:pPr>
        <w:pStyle w:val="2"/>
        <w:keepNext w:val="0"/>
        <w:keepLines w:val="0"/>
        <w:widowControl/>
        <w:suppressLineNumbers w:val="0"/>
        <w:spacing w:before="0" w:beforeAutospacing="0" w:after="0" w:afterAutospacing="0"/>
        <w:ind w:left="0" w:right="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哲学、宗教、教育研究小组的创始人兼主任，是宗教教育领域跨学科研究的专家，在牛津大学领导宗教教育教学达十年之久。20多年来，他从事档案、实证和理论的学术研究，并在教育与公民权利、文学、哲学等方面进行研究。</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 xml:space="preserve">项目大纲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“国际社会”分析</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解析模型在教育及政策制定过程中的广泛应用</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当代文化及身份认同</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教育在全球“南北合作”中的表现</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探讨分析在教育领域有影响力的全球政策参与者：世界银行&amp;经济合作与发展组织</w:t>
      </w:r>
    </w:p>
    <w:p>
      <w:pPr>
        <w:ind w:firstLine="562" w:firstLineChars="200"/>
        <w:rPr>
          <w:rFonts w:hint="eastAsia" w:ascii="仿宋" w:hAnsi="仿宋" w:eastAsia="仿宋" w:cs="仿宋"/>
          <w:sz w:val="28"/>
          <w:szCs w:val="28"/>
          <w:lang w:eastAsia="zh-CN"/>
        </w:rPr>
      </w:pPr>
      <w:r>
        <w:rPr>
          <w:rFonts w:hint="eastAsia" w:ascii="仿宋" w:hAnsi="仿宋" w:eastAsia="仿宋" w:cs="仿宋"/>
          <w:b/>
          <w:bCs/>
          <w:sz w:val="28"/>
          <w:szCs w:val="28"/>
          <w:lang w:eastAsia="zh-CN"/>
        </w:rPr>
        <w:t>二、《公共卫生与生物医学：冠状病毒“战疫”》</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 xml:space="preserve">项目背景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2020年初，一场没有硝烟的战役悄然打响。抗击新型冠状病毒疫情不仅是媒体铺天盖地的宣传和号召，更是每个家庭的幸福所在和个人的生命安全所系。冠状病毒是什么？这是一种怎样的传染疾病？如何进行自我防护？</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课程将在海外名校教授的指导下进行，帮助学生构建公共卫生与生物医学知识体系，特别是冠状病毒的相关知识，全面提升解决现实问题的能力，为未来升学和求职奠定坚实的基础。</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 xml:space="preserve">项目介绍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学生将在课程中学习公共卫生与一般预防医学、传染病、冠状病毒爆发、感染和免疫反应的相关知识。项目结束时，学生能运用所学知识解决现实问题，提交项目报告，进行成果展示。</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3.相关</w:t>
      </w:r>
      <w:r>
        <w:rPr>
          <w:rFonts w:hint="eastAsia" w:ascii="仿宋" w:hAnsi="仿宋" w:eastAsia="仿宋" w:cs="仿宋"/>
          <w:b/>
          <w:bCs/>
          <w:sz w:val="28"/>
          <w:szCs w:val="28"/>
          <w:lang w:eastAsia="zh-CN"/>
        </w:rPr>
        <w:t>专业</w:t>
      </w:r>
    </w:p>
    <w:p>
      <w:pPr>
        <w:ind w:firstLine="560" w:firstLineChars="200"/>
        <w:rPr>
          <w:rFonts w:hint="eastAsia"/>
        </w:rPr>
      </w:pPr>
      <w:r>
        <w:rPr>
          <w:rFonts w:hint="eastAsia" w:ascii="仿宋" w:hAnsi="仿宋" w:eastAsia="仿宋" w:cs="仿宋"/>
          <w:sz w:val="28"/>
          <w:szCs w:val="28"/>
          <w:lang w:eastAsia="zh-CN"/>
        </w:rPr>
        <w:t>医药学、免疫学、生物学等相关专业的学生。</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授课教师</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牛津大学纳菲尔德医学系Baird教授</w:t>
      </w:r>
    </w:p>
    <w:p>
      <w:pPr>
        <w:ind w:firstLine="560" w:firstLineChars="200"/>
        <w:rPr>
          <w:rFonts w:hint="eastAsia" w:ascii="Times New Roman" w:hAnsi="Times New Roman" w:eastAsia="宋体" w:cs="Times New Roman"/>
          <w:lang w:eastAsia="zh-CN"/>
        </w:rPr>
      </w:pPr>
      <w:r>
        <w:rPr>
          <w:rFonts w:hint="eastAsia" w:ascii="仿宋" w:hAnsi="仿宋" w:eastAsia="仿宋" w:cs="仿宋"/>
          <w:sz w:val="28"/>
          <w:szCs w:val="28"/>
          <w:lang w:eastAsia="zh-CN"/>
        </w:rPr>
        <w:t>Baird是牛津大学纳菲尔德医学系疟疾学教授，</w:t>
      </w:r>
      <w:r>
        <w:rPr>
          <w:rFonts w:hint="eastAsia" w:ascii="仿宋" w:hAnsi="仿宋" w:eastAsia="仿宋" w:cs="仿宋"/>
          <w:sz w:val="28"/>
          <w:szCs w:val="28"/>
          <w:lang w:val="en-US" w:eastAsia="zh-CN"/>
        </w:rPr>
        <w:t>也是</w:t>
      </w:r>
      <w:r>
        <w:rPr>
          <w:rFonts w:hint="eastAsia" w:ascii="仿宋" w:hAnsi="仿宋" w:eastAsia="仿宋" w:cs="仿宋"/>
          <w:sz w:val="28"/>
          <w:szCs w:val="28"/>
          <w:lang w:eastAsia="zh-CN"/>
        </w:rPr>
        <w:t>印度尼西亚雅加达Eijkman-Oxford临床研究中心主任。他获得马里兰大学微生物学学士学位、生物化学硕士学位，以及杜兰大学医学动物学博士学位。他长期专注于间日疟原虫疟疾</w:t>
      </w:r>
      <w:r>
        <w:rPr>
          <w:rFonts w:hint="eastAsia" w:ascii="仿宋" w:hAnsi="仿宋" w:eastAsia="仿宋" w:cs="仿宋"/>
          <w:sz w:val="28"/>
          <w:szCs w:val="28"/>
          <w:lang w:val="en-US" w:eastAsia="zh-CN"/>
        </w:rPr>
        <w:t>研究</w:t>
      </w:r>
      <w:r>
        <w:rPr>
          <w:rFonts w:hint="eastAsia" w:ascii="仿宋" w:hAnsi="仿宋" w:eastAsia="仿宋" w:cs="仿宋"/>
          <w:sz w:val="28"/>
          <w:szCs w:val="28"/>
          <w:lang w:eastAsia="zh-CN"/>
        </w:rPr>
        <w:t>，特别是G6PD缺乏症和细胞色素P-450 2D6药物遗传学问题。他的实验室进行治疗间日疟原虫复发的临床试验，此外还进行G6PD缺乏生物化学、诊断和流行病学的实验、现场研究。</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 xml:space="preserve">项目大纲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共卫生与一般预防医学：“预防医学是指以人群为研究对象，应用宏观与微观技术手段，研究影响健康因素及其作用规律，阐明外界环境因素与人群健康的相互关系，制定公共卫生策略与措施，以达到预防疾病增进健康延长寿命提高生命质量为目标的一门医学</w:t>
      </w:r>
      <w:r>
        <w:rPr>
          <w:rFonts w:hint="eastAsia" w:ascii="仿宋" w:hAnsi="仿宋" w:eastAsia="仿宋" w:cs="仿宋"/>
          <w:sz w:val="28"/>
          <w:szCs w:val="28"/>
          <w:lang w:val="en-US" w:eastAsia="zh-CN"/>
        </w:rPr>
        <w:t>学科”</w:t>
      </w:r>
      <w:r>
        <w:rPr>
          <w:rFonts w:hint="eastAsia" w:ascii="仿宋" w:hAnsi="仿宋" w:eastAsia="仿宋" w:cs="仿宋"/>
          <w:sz w:val="28"/>
          <w:szCs w:val="28"/>
          <w:lang w:eastAsia="zh-CN"/>
        </w:rPr>
        <w:t>。学习公共卫生的概念、原则等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传染病定义、类型与成因：传染病是由各种病原体引起的能在人与人、动物与动物或人与动物之间相互传播的一类疾病。学习传染病基本知识，探究严重疾病传播以及如何自我防护</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冠状病毒爆发：了解冠状病毒爆发的过程和疫情预测</w:t>
      </w:r>
    </w:p>
    <w:p>
      <w:pPr>
        <w:ind w:firstLine="560" w:firstLineChars="200"/>
      </w:pPr>
      <w:r>
        <w:rPr>
          <w:rFonts w:hint="eastAsia" w:ascii="仿宋" w:hAnsi="仿宋" w:eastAsia="仿宋" w:cs="仿宋"/>
          <w:sz w:val="28"/>
          <w:szCs w:val="28"/>
          <w:lang w:eastAsia="zh-CN"/>
        </w:rPr>
        <w:t>冠状病毒感染和免疫反应：掌握冠状病毒传染和人体免疫反应，对冠状病毒的传播形成自己的独到见解</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w:t>
      </w:r>
      <w:r>
        <w:rPr>
          <w:rFonts w:hint="eastAsia" w:ascii="仿宋" w:hAnsi="仿宋" w:eastAsia="仿宋" w:cs="仿宋"/>
          <w:b/>
          <w:bCs/>
          <w:sz w:val="28"/>
          <w:szCs w:val="28"/>
          <w:lang w:val="en-US" w:eastAsia="zh-CN"/>
        </w:rPr>
        <w:t>机器人、</w:t>
      </w:r>
      <w:r>
        <w:rPr>
          <w:rFonts w:hint="eastAsia" w:ascii="仿宋" w:hAnsi="仿宋" w:eastAsia="仿宋" w:cs="仿宋"/>
          <w:b/>
          <w:bCs/>
          <w:sz w:val="28"/>
          <w:szCs w:val="28"/>
          <w:lang w:eastAsia="zh-CN"/>
        </w:rPr>
        <w:t>人工智能与</w:t>
      </w:r>
      <w:r>
        <w:rPr>
          <w:rFonts w:hint="eastAsia" w:ascii="仿宋" w:hAnsi="仿宋" w:eastAsia="仿宋" w:cs="仿宋"/>
          <w:b/>
          <w:bCs/>
          <w:sz w:val="28"/>
          <w:szCs w:val="28"/>
          <w:lang w:val="en-US" w:eastAsia="zh-CN"/>
        </w:rPr>
        <w:t>计算机网络</w:t>
      </w:r>
      <w:r>
        <w:rPr>
          <w:rFonts w:hint="eastAsia" w:ascii="仿宋" w:hAnsi="仿宋" w:eastAsia="仿宋" w:cs="仿宋"/>
          <w:b/>
          <w:bCs/>
          <w:sz w:val="28"/>
          <w:szCs w:val="28"/>
          <w:lang w:eastAsia="zh-CN"/>
        </w:rPr>
        <w:t>》</w:t>
      </w:r>
    </w:p>
    <w:p>
      <w:pPr>
        <w:ind w:firstLine="562" w:firstLineChars="200"/>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项目背景</w:t>
      </w:r>
      <w:r>
        <w:rPr>
          <w:rFonts w:hint="eastAsia" w:ascii="仿宋" w:hAnsi="仿宋" w:eastAsia="仿宋" w:cs="仿宋"/>
          <w:sz w:val="28"/>
          <w:szCs w:val="28"/>
          <w:lang w:eastAsia="zh-CN"/>
        </w:rPr>
        <w:t xml:space="preserve">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人工智能是计算机学科的一个重要分支，被认为是二十一世纪三大尖端技术（基因工程、纳米科学、人工智能）之一。近三十年来人工智能技术获得了迅速发展，在很多领域获得了广泛应用，并取得了丰硕成果。人工智能已逐步成为一个独立的领域，无论在理论和实践上都已自成体系。人工智能目前不仅在计算机领域得到广泛发挥，在机器人、经济政治决策、控制系统、仿真系统中都得到广泛应用。神经网络是人工智能领域的重要部分，它通过模仿人脑结构及其功能的信息处理系统，数据的学习、结构和算法实现对大脑的研究，提高人们信息处理的智能化水平。</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项目介绍</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本课程教授人工智能的基本方法，</w:t>
      </w:r>
      <w:r>
        <w:rPr>
          <w:rFonts w:hint="eastAsia" w:ascii="仿宋" w:hAnsi="仿宋" w:eastAsia="仿宋" w:cs="仿宋"/>
          <w:sz w:val="28"/>
          <w:szCs w:val="28"/>
          <w:lang w:val="en-US" w:eastAsia="zh-CN"/>
        </w:rPr>
        <w:t>展示</w:t>
      </w:r>
      <w:r>
        <w:rPr>
          <w:rFonts w:hint="eastAsia" w:ascii="仿宋" w:hAnsi="仿宋" w:eastAsia="仿宋" w:cs="仿宋"/>
          <w:sz w:val="28"/>
          <w:szCs w:val="28"/>
          <w:lang w:eastAsia="zh-CN"/>
        </w:rPr>
        <w:t>大量的编程示例和AI技术来解释各种各样的信息来源，使用它来实现智能</w:t>
      </w:r>
      <w:r>
        <w:rPr>
          <w:rFonts w:hint="eastAsia" w:ascii="仿宋" w:hAnsi="仿宋" w:eastAsia="仿宋" w:cs="仿宋"/>
          <w:sz w:val="28"/>
          <w:szCs w:val="28"/>
          <w:lang w:val="en-US" w:eastAsia="zh-CN"/>
        </w:rPr>
        <w:t>、有</w:t>
      </w:r>
      <w:r>
        <w:rPr>
          <w:rFonts w:hint="eastAsia" w:ascii="仿宋" w:hAnsi="仿宋" w:eastAsia="仿宋" w:cs="仿宋"/>
          <w:sz w:val="28"/>
          <w:szCs w:val="28"/>
          <w:lang w:eastAsia="zh-CN"/>
        </w:rPr>
        <w:t>目标导向的行为。通过教授计算机网络的基本原则来提高学生的理解能力。在自上而下分析法中，带领学生检查协议栈的应用程序，传输、网络和数据链路层。</w:t>
      </w: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3.相关专业</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有计算机、人工智能专业基础的学生，对计算机、人工智能有兴趣的学生。</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具有高数基础、编程基础，数据结构算法较好</w:t>
      </w:r>
      <w:r>
        <w:rPr>
          <w:rFonts w:hint="eastAsia" w:ascii="仿宋" w:hAnsi="仿宋" w:eastAsia="仿宋" w:cs="仿宋"/>
          <w:sz w:val="28"/>
          <w:szCs w:val="28"/>
          <w:lang w:val="en-US" w:eastAsia="zh-CN"/>
        </w:rPr>
        <w:t>的学生。</w:t>
      </w: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4.授课教师</w:t>
      </w:r>
    </w:p>
    <w:p>
      <w:pPr>
        <w:ind w:firstLine="560" w:firstLineChars="200"/>
        <w:rPr>
          <w:rFonts w:ascii="sans-serif" w:hAnsi="sans-serif" w:eastAsia="sans-serif" w:cs="sans-serif"/>
          <w:i w:val="0"/>
          <w:iCs w:val="0"/>
          <w:caps w:val="0"/>
          <w:color w:val="2B2B2B"/>
          <w:spacing w:val="0"/>
          <w:sz w:val="21"/>
          <w:szCs w:val="21"/>
          <w:shd w:val="clear" w:fill="FFFFFF"/>
        </w:rPr>
      </w:pPr>
      <w:r>
        <w:rPr>
          <w:rFonts w:hint="eastAsia" w:ascii="仿宋" w:hAnsi="仿宋" w:eastAsia="仿宋" w:cs="仿宋"/>
          <w:sz w:val="28"/>
          <w:szCs w:val="28"/>
          <w:lang w:val="en-US" w:eastAsia="zh-CN"/>
        </w:rPr>
        <w:t>牛津大学</w:t>
      </w:r>
      <w:r>
        <w:rPr>
          <w:rFonts w:hint="eastAsia" w:ascii="仿宋" w:hAnsi="仿宋" w:eastAsia="仿宋" w:cs="仿宋"/>
          <w:sz w:val="28"/>
          <w:szCs w:val="28"/>
          <w:lang w:eastAsia="zh-CN"/>
        </w:rPr>
        <w:t>计算机科学</w:t>
      </w:r>
      <w:r>
        <w:rPr>
          <w:rFonts w:hint="eastAsia" w:ascii="仿宋" w:hAnsi="仿宋" w:eastAsia="仿宋" w:cs="仿宋"/>
          <w:sz w:val="28"/>
          <w:szCs w:val="28"/>
          <w:lang w:val="en-US" w:eastAsia="zh-CN"/>
        </w:rPr>
        <w:t>系</w:t>
      </w:r>
      <w:r>
        <w:rPr>
          <w:rFonts w:hint="eastAsia" w:ascii="仿宋" w:hAnsi="仿宋" w:eastAsia="仿宋" w:cs="仿宋"/>
          <w:sz w:val="28"/>
          <w:szCs w:val="28"/>
          <w:lang w:eastAsia="zh-CN"/>
        </w:rPr>
        <w:t>Vicary教授</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Vicary教授在牛津大学的曼斯菲尔德学院获得了物理学学士学位，在剑桥大学的DAMTP和Trinity Hall学习了第三部分数学课程。随后他在伦敦帝国理工学院</w:t>
      </w:r>
      <w:r>
        <w:rPr>
          <w:rFonts w:hint="eastAsia" w:ascii="仿宋" w:hAnsi="仿宋" w:eastAsia="仿宋" w:cs="仿宋"/>
          <w:sz w:val="28"/>
          <w:szCs w:val="28"/>
          <w:lang w:val="en-US" w:eastAsia="zh-CN"/>
        </w:rPr>
        <w:t>获得</w:t>
      </w:r>
      <w:r>
        <w:rPr>
          <w:rFonts w:hint="eastAsia" w:ascii="仿宋" w:hAnsi="仿宋" w:eastAsia="仿宋" w:cs="仿宋"/>
          <w:sz w:val="28"/>
          <w:szCs w:val="28"/>
          <w:lang w:eastAsia="zh-CN"/>
        </w:rPr>
        <w:t>范畴理论和量子信息基础博士学位。此后，他一直在牛津大学工作，于2013年成为高级研究员。</w:t>
      </w:r>
      <w:r>
        <w:rPr>
          <w:rFonts w:hint="eastAsia" w:ascii="仿宋" w:hAnsi="仿宋" w:eastAsia="仿宋" w:cs="仿宋"/>
          <w:sz w:val="28"/>
          <w:szCs w:val="28"/>
          <w:lang w:val="en-US" w:eastAsia="zh-CN"/>
        </w:rPr>
        <w:t>他的</w:t>
      </w:r>
      <w:r>
        <w:rPr>
          <w:rFonts w:hint="eastAsia" w:ascii="仿宋" w:hAnsi="仿宋" w:eastAsia="仿宋" w:cs="仿宋"/>
          <w:sz w:val="28"/>
          <w:szCs w:val="28"/>
          <w:lang w:eastAsia="zh-CN"/>
        </w:rPr>
        <w:t>工作是研究高级范畴理论及其在计算机科学和数学中的应用，特别是与量子结构相关的领域。</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项目大纲</w:t>
      </w:r>
    </w:p>
    <w:p>
      <w:p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互联网和基本网络协议</w:t>
      </w:r>
    </w:p>
    <w:p>
      <w:p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人工智能概论</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论文课程，围绕网络路由消息</w:t>
      </w:r>
    </w:p>
    <w:p>
      <w:p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人工智能和问题解决</w:t>
      </w:r>
    </w:p>
    <w:p>
      <w:p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网络的名称和地址</w:t>
      </w:r>
    </w:p>
    <w:p>
      <w:p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机器学习的神经网络</w:t>
      </w:r>
    </w:p>
    <w:p>
      <w:p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逻辑程序设计，计划和问题解决</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四、《实证金融学在股市中的运用》</w:t>
      </w:r>
    </w:p>
    <w:p>
      <w:pPr>
        <w:ind w:firstLine="562" w:firstLineChars="200"/>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项目背景</w:t>
      </w:r>
      <w:r>
        <w:rPr>
          <w:rFonts w:hint="eastAsia" w:ascii="仿宋" w:hAnsi="仿宋" w:eastAsia="仿宋" w:cs="仿宋"/>
          <w:sz w:val="28"/>
          <w:szCs w:val="28"/>
          <w:lang w:eastAsia="zh-CN"/>
        </w:rPr>
        <w:t xml:space="preserve">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实证金融侧重于使用金融计量技术实证分析金融市场中的现实问题。实证金融研究是一个“发现”过程，这种发现主要基于金融现象本身，而不依赖于我们想从金融现象中发现什么。实证金融研究投资组合理论和资产配置、资产定价和因子模型、市场有效性、汇率和利率的拟合和预测、风险价值（VaR）等。实证金融研究是一个观察、解释所看到的金融现象然后进行预测的过程。</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 xml:space="preserve">项目介绍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课程介绍，讲解实证分析中一些主要课题。目的是使学生了解当前金融市场实证研究的问题、方法和目的。焦点主要集中股票市场，重点是模型、方法以及实证结果及其解析。</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3.相关专业</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金融、经济、金融工程等商科专业，以及对投资理财、股市感兴趣的学生。</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授课教师</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剑桥大学贾奇商学院金融学Raghavendra Rau教授</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他是</w:t>
      </w:r>
      <w:r>
        <w:rPr>
          <w:rFonts w:hint="eastAsia" w:ascii="仿宋" w:hAnsi="仿宋" w:eastAsia="仿宋" w:cs="仿宋"/>
          <w:sz w:val="28"/>
          <w:szCs w:val="28"/>
          <w:lang w:eastAsia="zh-CN"/>
        </w:rPr>
        <w:t>欧洲金融协会前任主席和“金融管理”前任编辑。剑桥另类金融中心(CCAF)创始人、主任，剑桥公司治理网络(CCGN)成员。</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Raghavendra Rau 曾于2008-2009年在旧金山担任巴克莱全球投资者(Barclays Global Investors)负责人，该公司是当时全球最大的资产管理公司。曾任《企业金融期刊》《银行与金融期刊》《金融评论》《金融季刊》等杂志副主编，其研究成果经常被包括《纽约时报》《金融时报》《华尔街日报》和《经济学人》在内的大众媒体报道。</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 xml:space="preserve">项目大纲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金融及金融机构概述</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货币与货币制度</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商业银行及其业务</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股市原理及赚钱途径</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在股市中运用金融学</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五、《新闻与传播、传媒：社交媒体平台消费者行为与营销研究》</w:t>
      </w:r>
    </w:p>
    <w:p>
      <w:pPr>
        <w:ind w:firstLine="562" w:firstLineChars="200"/>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项目背景</w:t>
      </w:r>
      <w:r>
        <w:rPr>
          <w:rFonts w:hint="eastAsia" w:ascii="仿宋" w:hAnsi="仿宋" w:eastAsia="仿宋" w:cs="仿宋"/>
          <w:sz w:val="28"/>
          <w:szCs w:val="28"/>
          <w:lang w:eastAsia="zh-CN"/>
        </w:rPr>
        <w:t xml:space="preserve"> </w:t>
      </w:r>
    </w:p>
    <w:p>
      <w:pPr>
        <w:pStyle w:val="2"/>
        <w:keepNext w:val="0"/>
        <w:keepLines w:val="0"/>
        <w:widowControl/>
        <w:suppressLineNumbers w:val="0"/>
        <w:spacing w:before="0" w:beforeAutospacing="0" w:after="0" w:afterAutospacing="0"/>
        <w:ind w:left="0"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21世纪初以来，人们获取新闻信息的渠道和方式呈指数增长，数字和社交媒体在引导我们接收什么样的信息以及如何访问、处理和共享信息。网络传播的信息和图像会影响人们的工作生活、社交互动，甚至人们的情感。正因为社交媒体传播的信息有巨大的影响力，所以我们更需要学习如何在数字世界中进行交流，如何评估和引导社交媒体正确传播社会信息，如何通过社交媒体负责任地传播信息以及如何运用社交媒体进行在线学术研究。</w:t>
      </w:r>
    </w:p>
    <w:p>
      <w:pPr>
        <w:pStyle w:val="2"/>
        <w:keepNext w:val="0"/>
        <w:keepLines w:val="0"/>
        <w:widowControl/>
        <w:suppressLineNumbers w:val="0"/>
        <w:spacing w:before="0" w:beforeAutospacing="0" w:after="0" w:afterAutospacing="0"/>
        <w:ind w:left="0"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营销，指企业发现或发掘准消费者需求，让消费者了解该产品进而购买该产品的过程。市场营销又称作市场学、市场行销或行销学，是在创造、沟通、传播和交换产品中，为顾客、客户、合作伙伴以及整个社会带来经济价值的活动、过程和体系。MBA、EMBA等经典商管课程均将市场营销作为对管理者进行管理和教育的重要模块。</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 xml:space="preserve">项目介绍 </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项目将介绍基本的传播理论，让学生了解数字、社交、移动媒体以及市场营销。通过一段时间的学习，学生将在该领域提出研究主题的构想，定义研究问题，提出研究设计，收集和分析数据最终完成研究课题。</w:t>
      </w: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3.相关专业</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市场营销、广告、传媒学、数字媒体、传播学、社会学等专业的学生</w:t>
      </w:r>
    </w:p>
    <w:p>
      <w:pPr>
        <w:ind w:firstLine="562" w:firstLineChars="200"/>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授课教师</w:t>
      </w:r>
    </w:p>
    <w:p>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剑桥大学赛尔文学院</w:t>
      </w:r>
      <w:r>
        <w:rPr>
          <w:rFonts w:hint="default" w:ascii="仿宋" w:hAnsi="仿宋" w:eastAsia="仿宋" w:cs="仿宋"/>
          <w:kern w:val="2"/>
          <w:sz w:val="28"/>
          <w:szCs w:val="28"/>
          <w:lang w:val="en-US" w:eastAsia="zh-CN" w:bidi="ar-SA"/>
        </w:rPr>
        <w:t> Patrick</w:t>
      </w:r>
      <w:r>
        <w:rPr>
          <w:rFonts w:hint="eastAsia" w:ascii="仿宋" w:hAnsi="仿宋" w:eastAsia="仿宋" w:cs="仿宋"/>
          <w:kern w:val="2"/>
          <w:sz w:val="28"/>
          <w:szCs w:val="28"/>
          <w:lang w:val="en-US" w:eastAsia="zh-CN" w:bidi="ar-SA"/>
        </w:rPr>
        <w:t>教授</w:t>
      </w:r>
    </w:p>
    <w:p>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Patrick</w:t>
      </w:r>
      <w:r>
        <w:rPr>
          <w:rFonts w:hint="default" w:ascii="仿宋" w:hAnsi="仿宋" w:eastAsia="仿宋" w:cs="仿宋"/>
          <w:kern w:val="2"/>
          <w:sz w:val="28"/>
          <w:szCs w:val="28"/>
          <w:lang w:val="en-US" w:eastAsia="zh-CN" w:bidi="ar-SA"/>
        </w:rPr>
        <w:t>教授在牛津大学完成了他的研究生</w:t>
      </w:r>
      <w:r>
        <w:rPr>
          <w:rFonts w:hint="eastAsia" w:ascii="仿宋" w:hAnsi="仿宋" w:eastAsia="仿宋" w:cs="仿宋"/>
          <w:kern w:val="2"/>
          <w:sz w:val="28"/>
          <w:szCs w:val="28"/>
          <w:lang w:val="en-US" w:eastAsia="zh-CN" w:bidi="ar-SA"/>
        </w:rPr>
        <w:t>学习</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随后</w:t>
      </w:r>
      <w:r>
        <w:rPr>
          <w:rFonts w:hint="default" w:ascii="仿宋" w:hAnsi="仿宋" w:eastAsia="仿宋" w:cs="仿宋"/>
          <w:kern w:val="2"/>
          <w:sz w:val="28"/>
          <w:szCs w:val="28"/>
          <w:lang w:val="en-US" w:eastAsia="zh-CN" w:bidi="ar-SA"/>
        </w:rPr>
        <w:t>加入了剑桥大学。他在知识分子社会学方面的研究得到了各种机构的资助，包括英国科学院、欧洲研究理事会和Leverhulme Trust</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他的著作已被翻译成10多种语言。Patrick教授是《国际政治、文化和社会杂志》的主编，他还在《欧洲社会理论杂志》、《古典社会学杂志》、《当代社会学》和《区分》担任编辑职务。他曾在世界各地担任访问职务，包括开普敦大学、索邦大学、柏林洪堡大学、布朗大学、英属哥伦比亚大学、智利康塞普西翁大学、伦敦政治经济学院和巴黎政治学院。</w:t>
      </w:r>
    </w:p>
    <w:p>
      <w:pPr>
        <w:ind w:firstLine="562" w:firstLineChars="200"/>
      </w:pP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 xml:space="preserve">项目大纲 </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沟通模型与信息类型 </w:t>
      </w:r>
    </w:p>
    <w:p>
      <w:pPr>
        <w:ind w:firstLine="560" w:firstLineChars="200"/>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评估与分析网络行为</w:t>
      </w:r>
    </w:p>
    <w:p>
      <w:pPr>
        <w:ind w:firstLine="560" w:firstLineChars="200"/>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 xml:space="preserve">谣言与口碑广告的线上传播 </w:t>
      </w:r>
    </w:p>
    <w:p>
      <w:pPr>
        <w:ind w:firstLine="560" w:firstLineChars="200"/>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 xml:space="preserve">线上社群与社交平台 </w:t>
      </w:r>
    </w:p>
    <w:p>
      <w:pPr>
        <w:ind w:firstLine="560" w:firstLineChars="200"/>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 xml:space="preserve">设计研究课题 </w:t>
      </w:r>
    </w:p>
    <w:p>
      <w:pPr>
        <w:ind w:firstLine="560" w:firstLineChars="200"/>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内容分析法与调查问卷法：内容分析法介绍及操作程序、内容分析法中的编码表、调查问卷法介绍及操作程序、问题的形式以及不同的量表类型、概率抽样与非概率抽样</w:t>
      </w:r>
    </w:p>
    <w:p>
      <w:pPr>
        <w:ind w:firstLine="560" w:firstLineChars="200"/>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数据分析及解读I：皮尔森相关性分析及实操演练、卡方分析及实操演练、单样本方差及实操演练、T检验及实操演练</w:t>
      </w:r>
    </w:p>
    <w:p>
      <w:pPr>
        <w:ind w:firstLine="560" w:firstLineChars="200"/>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数据分析及解读II：多元方差及实操演练、简单线性回归及实操演练、多重线性回归及实操演练</w:t>
      </w:r>
    </w:p>
    <w:p>
      <w:pPr>
        <w:keepNext w:val="0"/>
        <w:keepLines w:val="0"/>
        <w:widowControl/>
        <w:numPr>
          <w:ilvl w:val="0"/>
          <w:numId w:val="0"/>
        </w:numPr>
        <w:suppressLineNumbers w:val="0"/>
        <w:spacing w:before="0" w:beforeAutospacing="0" w:after="0" w:afterAutospacing="0"/>
        <w:ind w:right="0" w:rightChars="0"/>
        <w:jc w:val="left"/>
        <w:rPr>
          <w:rFonts w:hint="default" w:ascii="仿宋" w:hAnsi="仿宋" w:eastAsia="仿宋" w:cs="仿宋"/>
          <w:kern w:val="2"/>
          <w:sz w:val="28"/>
          <w:szCs w:val="28"/>
          <w:lang w:val="en-US" w:eastAsia="zh-CN" w:bidi="ar-SA"/>
        </w:rPr>
      </w:pP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（以上课程内容，授课教师可能根据开课时间的不同进行调整）</w:t>
      </w: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spacing w:after="156" w:afterLines="50"/>
        <w:jc w:val="left"/>
        <w:rPr>
          <w:rFonts w:eastAsia="黑体"/>
          <w:bCs/>
          <w:kern w:val="0"/>
          <w:sz w:val="30"/>
          <w:szCs w:val="30"/>
        </w:rPr>
      </w:pPr>
    </w:p>
    <w:p>
      <w:pPr>
        <w:spacing w:after="156" w:afterLines="50"/>
        <w:jc w:val="left"/>
        <w:rPr>
          <w:rFonts w:hint="eastAsia" w:eastAsia="黑体"/>
          <w:bCs/>
          <w:kern w:val="0"/>
          <w:sz w:val="30"/>
          <w:szCs w:val="30"/>
          <w:lang w:val="en-US" w:eastAsia="zh-CN"/>
        </w:rPr>
      </w:pPr>
      <w:r>
        <w:rPr>
          <w:rFonts w:eastAsia="黑体"/>
          <w:bCs/>
          <w:kern w:val="0"/>
          <w:sz w:val="30"/>
          <w:szCs w:val="30"/>
        </w:rPr>
        <w:t>附件</w:t>
      </w:r>
      <w:r>
        <w:rPr>
          <w:rFonts w:hint="eastAsia" w:eastAsia="黑体"/>
          <w:bCs/>
          <w:kern w:val="0"/>
          <w:sz w:val="30"/>
          <w:szCs w:val="30"/>
          <w:lang w:val="en-US" w:eastAsia="zh-CN"/>
        </w:rPr>
        <w:t>3</w:t>
      </w:r>
    </w:p>
    <w:p>
      <w:pPr>
        <w:spacing w:line="540" w:lineRule="exact"/>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rPr>
        <w:t>江苏大学生</w:t>
      </w:r>
      <w:r>
        <w:rPr>
          <w:rFonts w:hint="eastAsia" w:ascii="仿宋" w:hAnsi="仿宋" w:eastAsia="仿宋" w:cs="仿宋"/>
          <w:b/>
          <w:bCs/>
          <w:sz w:val="40"/>
          <w:szCs w:val="40"/>
          <w:lang w:eastAsia="zh-CN"/>
        </w:rPr>
        <w:t>线上国际课程</w:t>
      </w:r>
      <w:r>
        <w:rPr>
          <w:rFonts w:hint="eastAsia" w:ascii="仿宋" w:hAnsi="仿宋" w:eastAsia="仿宋" w:cs="仿宋"/>
          <w:b/>
          <w:bCs/>
          <w:sz w:val="40"/>
          <w:szCs w:val="40"/>
          <w:lang w:val="en-US" w:eastAsia="zh-CN"/>
        </w:rPr>
        <w:t>科研项目费用</w:t>
      </w:r>
    </w:p>
    <w:p>
      <w:pPr>
        <w:spacing w:line="540" w:lineRule="exact"/>
        <w:jc w:val="center"/>
        <w:rPr>
          <w:rFonts w:hint="eastAsia" w:ascii="仿宋" w:hAnsi="仿宋" w:eastAsia="仿宋" w:cs="仿宋"/>
          <w:b/>
          <w:bCs/>
          <w:sz w:val="40"/>
          <w:szCs w:val="40"/>
          <w:lang w:val="en-US" w:eastAsia="zh-CN"/>
        </w:rPr>
      </w:pPr>
    </w:p>
    <w:p>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线上科研项目费用</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1、19800元/人</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费用</w:t>
      </w:r>
      <w:r>
        <w:rPr>
          <w:rFonts w:hint="eastAsia" w:ascii="仿宋" w:hAnsi="仿宋" w:eastAsia="仿宋" w:cs="仿宋"/>
          <w:sz w:val="28"/>
          <w:szCs w:val="28"/>
          <w:lang w:eastAsia="zh-CN"/>
        </w:rPr>
        <w:t>包</w:t>
      </w:r>
      <w:r>
        <w:rPr>
          <w:rFonts w:hint="eastAsia" w:ascii="仿宋" w:hAnsi="仿宋" w:eastAsia="仿宋" w:cs="仿宋"/>
          <w:sz w:val="28"/>
          <w:szCs w:val="28"/>
        </w:rPr>
        <w:t>含：学习材料费用</w:t>
      </w:r>
      <w:r>
        <w:rPr>
          <w:rFonts w:hint="eastAsia" w:ascii="仿宋" w:hAnsi="仿宋" w:eastAsia="仿宋" w:cs="仿宋"/>
          <w:sz w:val="28"/>
          <w:szCs w:val="28"/>
          <w:lang w:eastAsia="zh-CN"/>
        </w:rPr>
        <w:t>；</w:t>
      </w:r>
      <w:r>
        <w:rPr>
          <w:rFonts w:hint="eastAsia" w:ascii="仿宋" w:hAnsi="仿宋" w:eastAsia="仿宋" w:cs="仿宋"/>
          <w:sz w:val="28"/>
          <w:szCs w:val="28"/>
        </w:rPr>
        <w:t>教授授课、导师答疑、论文指导、答辩等学习费用</w:t>
      </w:r>
      <w:r>
        <w:rPr>
          <w:rFonts w:hint="eastAsia" w:ascii="仿宋" w:hAnsi="仿宋" w:eastAsia="仿宋" w:cs="仿宋"/>
          <w:sz w:val="28"/>
          <w:szCs w:val="28"/>
          <w:lang w:eastAsia="zh-CN"/>
        </w:rPr>
        <w:t>；</w:t>
      </w:r>
      <w:r>
        <w:rPr>
          <w:rFonts w:hint="eastAsia" w:ascii="仿宋" w:hAnsi="仿宋" w:eastAsia="仿宋" w:cs="仿宋"/>
          <w:sz w:val="28"/>
          <w:szCs w:val="28"/>
        </w:rPr>
        <w:t>教授签名的推荐信、项目评估报告以及项目结业证书费用</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2、如需发表论文，需另加版面费5000元。</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缴费事项</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请报名学生于</w:t>
      </w:r>
      <w:r>
        <w:rPr>
          <w:rFonts w:hint="eastAsia" w:ascii="仿宋" w:hAnsi="仿宋" w:eastAsia="仿宋" w:cs="仿宋"/>
          <w:sz w:val="28"/>
          <w:szCs w:val="28"/>
          <w:lang w:val="en-US" w:eastAsia="zh-CN"/>
        </w:rPr>
        <w:t>2022年6月18日前一次性缴纳全部费用至我会账户，账户信息如下：</w:t>
      </w:r>
    </w:p>
    <w:p>
      <w:pPr>
        <w:tabs>
          <w:tab w:val="left" w:pos="180"/>
        </w:tabs>
        <w:autoSpaceDE w:val="0"/>
        <w:autoSpaceDN w:val="0"/>
        <w:adjustRightInd w:val="0"/>
        <w:spacing w:line="360" w:lineRule="auto"/>
        <w:ind w:left="567" w:leftChars="270" w:right="18"/>
        <w:rPr>
          <w:rFonts w:hint="eastAsia" w:ascii="仿宋_GB2312" w:hAnsi="仿宋" w:eastAsia="仿宋_GB2312"/>
          <w:bCs/>
          <w:color w:val="000000"/>
          <w:kern w:val="0"/>
          <w:sz w:val="28"/>
          <w:szCs w:val="28"/>
          <w:lang w:val="zh-CN"/>
        </w:rPr>
      </w:pPr>
      <w:r>
        <w:rPr>
          <w:rFonts w:hint="eastAsia" w:ascii="仿宋_GB2312" w:hAnsi="仿宋" w:eastAsia="仿宋_GB2312"/>
          <w:bCs/>
          <w:color w:val="000000"/>
          <w:kern w:val="0"/>
          <w:sz w:val="28"/>
          <w:szCs w:val="28"/>
          <w:lang w:val="zh-CN"/>
        </w:rPr>
        <w:t>账户名：江苏省教育国际交流协会</w:t>
      </w:r>
    </w:p>
    <w:p>
      <w:pPr>
        <w:tabs>
          <w:tab w:val="left" w:pos="180"/>
        </w:tabs>
        <w:autoSpaceDE w:val="0"/>
        <w:autoSpaceDN w:val="0"/>
        <w:adjustRightInd w:val="0"/>
        <w:spacing w:line="360" w:lineRule="auto"/>
        <w:ind w:left="567" w:leftChars="270" w:right="18"/>
        <w:rPr>
          <w:rFonts w:hint="eastAsia" w:ascii="仿宋_GB2312" w:hAnsi="仿宋" w:eastAsia="仿宋_GB2312"/>
          <w:bCs/>
          <w:color w:val="000000"/>
          <w:kern w:val="0"/>
          <w:sz w:val="28"/>
          <w:szCs w:val="28"/>
          <w:lang w:val="zh-CN"/>
        </w:rPr>
      </w:pPr>
      <w:r>
        <w:rPr>
          <w:rFonts w:hint="eastAsia" w:ascii="仿宋_GB2312" w:hAnsi="仿宋" w:eastAsia="仿宋_GB2312"/>
          <w:bCs/>
          <w:color w:val="000000"/>
          <w:kern w:val="0"/>
          <w:sz w:val="28"/>
          <w:szCs w:val="28"/>
          <w:lang w:val="zh-CN"/>
        </w:rPr>
        <w:t>账  号：10</w:t>
      </w:r>
      <w:r>
        <w:rPr>
          <w:rFonts w:hint="eastAsia" w:ascii="仿宋_GB2312" w:hAnsi="仿宋" w:eastAsia="仿宋_GB2312"/>
          <w:bCs/>
          <w:color w:val="000000"/>
          <w:kern w:val="0"/>
          <w:sz w:val="28"/>
          <w:szCs w:val="28"/>
          <w:lang w:val="en-US" w:eastAsia="zh-CN"/>
        </w:rPr>
        <w:t xml:space="preserve"> </w:t>
      </w:r>
      <w:r>
        <w:rPr>
          <w:rFonts w:hint="eastAsia" w:ascii="仿宋_GB2312" w:hAnsi="仿宋" w:eastAsia="仿宋_GB2312"/>
          <w:bCs/>
          <w:color w:val="000000"/>
          <w:kern w:val="0"/>
          <w:sz w:val="28"/>
          <w:szCs w:val="28"/>
          <w:lang w:val="zh-CN"/>
        </w:rPr>
        <w:t>1005 0104 000 6336</w:t>
      </w:r>
    </w:p>
    <w:p>
      <w:pPr>
        <w:tabs>
          <w:tab w:val="left" w:pos="180"/>
        </w:tabs>
        <w:autoSpaceDE w:val="0"/>
        <w:autoSpaceDN w:val="0"/>
        <w:adjustRightInd w:val="0"/>
        <w:spacing w:line="360" w:lineRule="auto"/>
        <w:ind w:left="567" w:leftChars="270" w:right="18"/>
        <w:rPr>
          <w:rFonts w:hint="eastAsia" w:ascii="仿宋_GB2312" w:hAnsi="仿宋" w:eastAsia="仿宋_GB2312"/>
          <w:bCs/>
          <w:color w:val="000000"/>
          <w:kern w:val="0"/>
          <w:sz w:val="28"/>
          <w:szCs w:val="28"/>
          <w:lang w:val="zh-CN"/>
        </w:rPr>
      </w:pPr>
      <w:r>
        <w:rPr>
          <w:rFonts w:hint="eastAsia" w:ascii="仿宋_GB2312" w:hAnsi="仿宋" w:eastAsia="仿宋_GB2312"/>
          <w:bCs/>
          <w:color w:val="000000"/>
          <w:kern w:val="0"/>
          <w:sz w:val="28"/>
          <w:szCs w:val="28"/>
          <w:lang w:val="zh-CN"/>
        </w:rPr>
        <w:t>开户行：农业银行南京云南路支行</w:t>
      </w:r>
    </w:p>
    <w:p>
      <w:pPr>
        <w:tabs>
          <w:tab w:val="left" w:pos="180"/>
        </w:tabs>
        <w:autoSpaceDE w:val="0"/>
        <w:autoSpaceDN w:val="0"/>
        <w:adjustRightInd w:val="0"/>
        <w:spacing w:line="360" w:lineRule="auto"/>
        <w:ind w:right="17"/>
        <w:rPr>
          <w:rFonts w:hint="eastAsia" w:ascii="仿宋_GB2312" w:hAnsi="仿宋" w:eastAsia="仿宋_GB2312"/>
          <w:b/>
          <w:bCs w:val="0"/>
          <w:color w:val="000000"/>
          <w:kern w:val="0"/>
          <w:sz w:val="28"/>
          <w:szCs w:val="28"/>
          <w:lang w:val="zh-CN"/>
        </w:rPr>
      </w:pPr>
      <w:r>
        <w:rPr>
          <w:rFonts w:hint="eastAsia" w:ascii="仿宋_GB2312" w:hAnsi="仿宋" w:eastAsia="仿宋_GB2312"/>
          <w:b w:val="0"/>
          <w:bCs/>
          <w:color w:val="000000"/>
          <w:kern w:val="0"/>
          <w:sz w:val="28"/>
          <w:szCs w:val="28"/>
          <w:lang w:val="en-US" w:eastAsia="zh-CN"/>
        </w:rPr>
        <w:t>三、注意事项</w:t>
      </w:r>
    </w:p>
    <w:p>
      <w:pPr>
        <w:tabs>
          <w:tab w:val="left" w:pos="180"/>
        </w:tabs>
        <w:autoSpaceDE w:val="0"/>
        <w:autoSpaceDN w:val="0"/>
        <w:adjustRightInd w:val="0"/>
        <w:spacing w:line="360" w:lineRule="auto"/>
        <w:ind w:right="17" w:firstLine="560" w:firstLineChars="200"/>
        <w:rPr>
          <w:rFonts w:hint="eastAsia" w:ascii="仿宋_GB2312" w:hAnsi="仿宋" w:eastAsia="仿宋_GB2312"/>
          <w:bCs/>
          <w:color w:val="000000"/>
          <w:kern w:val="0"/>
          <w:sz w:val="28"/>
          <w:szCs w:val="28"/>
          <w:lang w:val="zh-CN"/>
        </w:rPr>
      </w:pPr>
      <w:r>
        <w:rPr>
          <w:rFonts w:hint="eastAsia" w:ascii="仿宋_GB2312" w:hAnsi="仿宋" w:eastAsia="仿宋_GB2312"/>
          <w:bCs/>
          <w:color w:val="000000"/>
          <w:kern w:val="0"/>
          <w:sz w:val="28"/>
          <w:szCs w:val="28"/>
          <w:lang w:val="zh-CN"/>
        </w:rPr>
        <w:t>汇款凭证上请注明学校名称、学生姓名、汇款人姓名，再将汇款凭证电子版发至</w:t>
      </w:r>
      <w:r>
        <w:rPr>
          <w:rFonts w:hint="eastAsia" w:ascii="仿宋_GB2312" w:hAnsi="仿宋" w:eastAsia="仿宋_GB2312"/>
          <w:bCs/>
          <w:color w:val="000000"/>
          <w:kern w:val="0"/>
          <w:sz w:val="28"/>
          <w:szCs w:val="28"/>
          <w:lang w:val="en-US" w:eastAsia="zh-CN"/>
        </w:rPr>
        <w:t>3293848738</w:t>
      </w:r>
      <w:r>
        <w:rPr>
          <w:rFonts w:ascii="仿宋_GB2312" w:hAnsi="仿宋" w:eastAsia="仿宋_GB2312"/>
          <w:bCs/>
          <w:color w:val="000000"/>
          <w:kern w:val="0"/>
          <w:sz w:val="28"/>
          <w:szCs w:val="28"/>
          <w:lang w:val="zh-CN"/>
        </w:rPr>
        <w:t>@qq.com</w:t>
      </w:r>
      <w:r>
        <w:rPr>
          <w:rFonts w:hint="eastAsia" w:ascii="仿宋_GB2312" w:hAnsi="仿宋" w:eastAsia="仿宋_GB2312"/>
          <w:bCs/>
          <w:color w:val="000000"/>
          <w:kern w:val="0"/>
          <w:sz w:val="28"/>
          <w:szCs w:val="28"/>
          <w:lang w:val="zh-CN"/>
        </w:rPr>
        <w:t>。</w:t>
      </w:r>
    </w:p>
    <w:p>
      <w:pPr>
        <w:spacing w:line="540" w:lineRule="exact"/>
        <w:jc w:val="both"/>
        <w:rPr>
          <w:rFonts w:hint="eastAsia" w:ascii="仿宋" w:hAnsi="仿宋" w:eastAsia="仿宋" w:cs="仿宋"/>
          <w:b/>
          <w:bCs/>
          <w:sz w:val="40"/>
          <w:szCs w:val="40"/>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EE56"/>
    <w:multiLevelType w:val="singleLevel"/>
    <w:tmpl w:val="B8AAEE56"/>
    <w:lvl w:ilvl="0" w:tentative="0">
      <w:start w:val="1"/>
      <w:numFmt w:val="chineseCounting"/>
      <w:suff w:val="nothing"/>
      <w:lvlText w:val="%1、"/>
      <w:lvlJc w:val="left"/>
      <w:rPr>
        <w:rFonts w:hint="eastAsia"/>
      </w:rPr>
    </w:lvl>
  </w:abstractNum>
  <w:abstractNum w:abstractNumId="1">
    <w:nsid w:val="1C50F970"/>
    <w:multiLevelType w:val="singleLevel"/>
    <w:tmpl w:val="1C50F9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MTM4ZTMzNTU4OWJkMzViYmE3Y2RlNjk4NTAwYzkifQ=="/>
  </w:docVars>
  <w:rsids>
    <w:rsidRoot w:val="00000000"/>
    <w:rsid w:val="0054520C"/>
    <w:rsid w:val="010B47FE"/>
    <w:rsid w:val="010D7159"/>
    <w:rsid w:val="010F18CE"/>
    <w:rsid w:val="01432591"/>
    <w:rsid w:val="01D23405"/>
    <w:rsid w:val="02242830"/>
    <w:rsid w:val="024A67C0"/>
    <w:rsid w:val="02902ED1"/>
    <w:rsid w:val="02946286"/>
    <w:rsid w:val="04320E29"/>
    <w:rsid w:val="047C6160"/>
    <w:rsid w:val="048F35B8"/>
    <w:rsid w:val="04CF7781"/>
    <w:rsid w:val="0580730A"/>
    <w:rsid w:val="05A60C53"/>
    <w:rsid w:val="068A2BE1"/>
    <w:rsid w:val="06F32427"/>
    <w:rsid w:val="0878022B"/>
    <w:rsid w:val="09277BFD"/>
    <w:rsid w:val="09E336BC"/>
    <w:rsid w:val="0AA22DAD"/>
    <w:rsid w:val="0BE50EE8"/>
    <w:rsid w:val="0C75093F"/>
    <w:rsid w:val="0D240815"/>
    <w:rsid w:val="0F1C3BE8"/>
    <w:rsid w:val="0FDA2A94"/>
    <w:rsid w:val="104F6B55"/>
    <w:rsid w:val="10565A89"/>
    <w:rsid w:val="110C1CFB"/>
    <w:rsid w:val="11372A51"/>
    <w:rsid w:val="119F537E"/>
    <w:rsid w:val="11A51FB6"/>
    <w:rsid w:val="12090F3C"/>
    <w:rsid w:val="12A031AA"/>
    <w:rsid w:val="13C873FF"/>
    <w:rsid w:val="14740D5A"/>
    <w:rsid w:val="14885B08"/>
    <w:rsid w:val="158C0683"/>
    <w:rsid w:val="15FC564B"/>
    <w:rsid w:val="17690052"/>
    <w:rsid w:val="17910E72"/>
    <w:rsid w:val="17DA69D2"/>
    <w:rsid w:val="185A0386"/>
    <w:rsid w:val="1905518A"/>
    <w:rsid w:val="19E624B2"/>
    <w:rsid w:val="1A954892"/>
    <w:rsid w:val="1B887836"/>
    <w:rsid w:val="1E6062FB"/>
    <w:rsid w:val="1E761FFC"/>
    <w:rsid w:val="1FA14A6C"/>
    <w:rsid w:val="1FF12219"/>
    <w:rsid w:val="22627B0E"/>
    <w:rsid w:val="23D46404"/>
    <w:rsid w:val="26056C00"/>
    <w:rsid w:val="275413AC"/>
    <w:rsid w:val="276F5A00"/>
    <w:rsid w:val="28D635EE"/>
    <w:rsid w:val="28E21563"/>
    <w:rsid w:val="29A179E7"/>
    <w:rsid w:val="2AB70318"/>
    <w:rsid w:val="2B164582"/>
    <w:rsid w:val="2B98527E"/>
    <w:rsid w:val="2CB640D6"/>
    <w:rsid w:val="2CDB0A64"/>
    <w:rsid w:val="2EF9734E"/>
    <w:rsid w:val="2F0C72A3"/>
    <w:rsid w:val="2FE7620E"/>
    <w:rsid w:val="2FF60559"/>
    <w:rsid w:val="301B5FB9"/>
    <w:rsid w:val="30264165"/>
    <w:rsid w:val="306446DC"/>
    <w:rsid w:val="30960806"/>
    <w:rsid w:val="30D925D1"/>
    <w:rsid w:val="31031856"/>
    <w:rsid w:val="31FB3685"/>
    <w:rsid w:val="3211717A"/>
    <w:rsid w:val="32EB1476"/>
    <w:rsid w:val="33210134"/>
    <w:rsid w:val="343D5D2C"/>
    <w:rsid w:val="36CD32BA"/>
    <w:rsid w:val="380F0F31"/>
    <w:rsid w:val="39692D80"/>
    <w:rsid w:val="3AEC4F8F"/>
    <w:rsid w:val="3B192916"/>
    <w:rsid w:val="3B9A5C09"/>
    <w:rsid w:val="3C611ACD"/>
    <w:rsid w:val="3EEC6CD2"/>
    <w:rsid w:val="3F8D7A15"/>
    <w:rsid w:val="3FAE7F8F"/>
    <w:rsid w:val="3FC71053"/>
    <w:rsid w:val="40886867"/>
    <w:rsid w:val="413D0871"/>
    <w:rsid w:val="4161722D"/>
    <w:rsid w:val="425402AA"/>
    <w:rsid w:val="42E432DE"/>
    <w:rsid w:val="44325235"/>
    <w:rsid w:val="44497E2D"/>
    <w:rsid w:val="44862C14"/>
    <w:rsid w:val="45255E1F"/>
    <w:rsid w:val="453C76F4"/>
    <w:rsid w:val="464F4953"/>
    <w:rsid w:val="46731A57"/>
    <w:rsid w:val="46745FD0"/>
    <w:rsid w:val="46B20E7A"/>
    <w:rsid w:val="47CF1859"/>
    <w:rsid w:val="483C791A"/>
    <w:rsid w:val="486503BD"/>
    <w:rsid w:val="48FD324C"/>
    <w:rsid w:val="4AEF7284"/>
    <w:rsid w:val="4B480345"/>
    <w:rsid w:val="4BA95F1B"/>
    <w:rsid w:val="4C7E17AC"/>
    <w:rsid w:val="4EE37780"/>
    <w:rsid w:val="4F0F3D36"/>
    <w:rsid w:val="4F586AE2"/>
    <w:rsid w:val="4FCD164B"/>
    <w:rsid w:val="5067103E"/>
    <w:rsid w:val="50B50BFE"/>
    <w:rsid w:val="5131276E"/>
    <w:rsid w:val="51B247F3"/>
    <w:rsid w:val="51D23A64"/>
    <w:rsid w:val="52792B35"/>
    <w:rsid w:val="543E2B68"/>
    <w:rsid w:val="546A6B7B"/>
    <w:rsid w:val="55AF4F71"/>
    <w:rsid w:val="58D17D4E"/>
    <w:rsid w:val="59020C0B"/>
    <w:rsid w:val="5A816E16"/>
    <w:rsid w:val="5AD60C67"/>
    <w:rsid w:val="5B531A89"/>
    <w:rsid w:val="5BB32BC7"/>
    <w:rsid w:val="5BB42BB1"/>
    <w:rsid w:val="5E1577F3"/>
    <w:rsid w:val="5E44494D"/>
    <w:rsid w:val="5E906B02"/>
    <w:rsid w:val="5E9C1C89"/>
    <w:rsid w:val="5ED82C90"/>
    <w:rsid w:val="5EFD677E"/>
    <w:rsid w:val="5F173286"/>
    <w:rsid w:val="61937EEB"/>
    <w:rsid w:val="61971831"/>
    <w:rsid w:val="61B12EDF"/>
    <w:rsid w:val="64E247CD"/>
    <w:rsid w:val="65DF6275"/>
    <w:rsid w:val="67555951"/>
    <w:rsid w:val="67D4247C"/>
    <w:rsid w:val="67EC4BED"/>
    <w:rsid w:val="68095BBE"/>
    <w:rsid w:val="68686DB0"/>
    <w:rsid w:val="68B559BA"/>
    <w:rsid w:val="691C7733"/>
    <w:rsid w:val="698A1039"/>
    <w:rsid w:val="69EC61B7"/>
    <w:rsid w:val="6A016EFC"/>
    <w:rsid w:val="6A1F6A0C"/>
    <w:rsid w:val="6B8A3246"/>
    <w:rsid w:val="6C3D25EF"/>
    <w:rsid w:val="6F1702F8"/>
    <w:rsid w:val="6F791497"/>
    <w:rsid w:val="701333E3"/>
    <w:rsid w:val="709B2CCE"/>
    <w:rsid w:val="70B439D5"/>
    <w:rsid w:val="73357F10"/>
    <w:rsid w:val="73373EE4"/>
    <w:rsid w:val="733D3207"/>
    <w:rsid w:val="741C4C2C"/>
    <w:rsid w:val="74D037F5"/>
    <w:rsid w:val="75D45977"/>
    <w:rsid w:val="75E23D04"/>
    <w:rsid w:val="79E55ACE"/>
    <w:rsid w:val="7A735E09"/>
    <w:rsid w:val="7AE371EF"/>
    <w:rsid w:val="7B344A06"/>
    <w:rsid w:val="7B973289"/>
    <w:rsid w:val="7B9C39D7"/>
    <w:rsid w:val="7BDA2BF1"/>
    <w:rsid w:val="7C2410B7"/>
    <w:rsid w:val="7C335D8E"/>
    <w:rsid w:val="7C8F2199"/>
    <w:rsid w:val="7CB66A0E"/>
    <w:rsid w:val="7CBD564A"/>
    <w:rsid w:val="7CFA4838"/>
    <w:rsid w:val="7D4B7210"/>
    <w:rsid w:val="7DEF6C2D"/>
    <w:rsid w:val="7F2F0376"/>
    <w:rsid w:val="7F6B7D8C"/>
    <w:rsid w:val="7FAB7D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6033</Words>
  <Characters>6643</Characters>
  <Lines>0</Lines>
  <Paragraphs>0</Paragraphs>
  <TotalTime>0</TotalTime>
  <ScaleCrop>false</ScaleCrop>
  <LinksUpToDate>false</LinksUpToDate>
  <CharactersWithSpaces>6745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蹦哒蹦哒</cp:lastModifiedBy>
  <cp:lastPrinted>2022-05-11T02:11:00Z</cp:lastPrinted>
  <dcterms:modified xsi:type="dcterms:W3CDTF">2022-05-12T08:20:28Z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7BC3921D4CC2489AB2DD958A8EBD521B</vt:lpwstr>
  </property>
</Properties>
</file>