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各学院大学生年度人物候选人分配指标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学院</w:t>
            </w:r>
          </w:p>
        </w:tc>
        <w:tc>
          <w:tcPr>
            <w:tcW w:w="5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大学生年度人物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候选人分配指标上限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本科生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中药学院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生命科学与技术学院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国际医药商学院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外国语学院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--</w:t>
            </w:r>
            <w:bookmarkStart w:id="0" w:name="_GoBack"/>
            <w:bookmarkEnd w:id="0"/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基础医学与临床药学学院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全国重点实验室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--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生物药物学院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--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孟目的学院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≤1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</w:tbl>
    <w:p>
      <w:pPr>
        <w:widowControl/>
        <w:shd w:val="clear" w:color="auto" w:fill="FFFFFF"/>
        <w:jc w:val="left"/>
        <w:rPr>
          <w:rFonts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备注：各学院推荐人选</w:t>
      </w:r>
      <w:r>
        <w:rPr>
          <w:rFonts w:hint="eastAsia" w:ascii="方正仿宋_GB2312" w:hAnsi="方正仿宋_GB2312" w:eastAsia="方正仿宋_GB2312" w:cs="方正仿宋_GB2312"/>
          <w:sz w:val="24"/>
          <w:lang w:val="en-US" w:eastAsia="zh-CN"/>
        </w:rPr>
        <w:t>名额原则上</w:t>
      </w:r>
      <w:r>
        <w:rPr>
          <w:rFonts w:hint="eastAsia" w:ascii="方正仿宋_GB2312" w:hAnsi="方正仿宋_GB2312" w:eastAsia="方正仿宋_GB2312" w:cs="方正仿宋_GB2312"/>
          <w:sz w:val="24"/>
        </w:rPr>
        <w:t>不超过学院学生人数的2.0‰，比例不足1人的按照1人推荐。</w:t>
      </w: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578E4DA-4C89-4A56-A1BA-C3C8B3C075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68F74B5-4C82-4A36-82FC-90E491F2D12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YTM5ZGMxOWRiOTVmODYwOGY1MTAyOWZjMzMyOGUifQ=="/>
  </w:docVars>
  <w:rsids>
    <w:rsidRoot w:val="2FB3007C"/>
    <w:rsid w:val="2FB3007C"/>
    <w:rsid w:val="5A0F1138"/>
    <w:rsid w:val="66B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840" w:leftChars="400"/>
    </w:pPr>
    <w:rPr>
      <w:rFonts w:ascii="Times New Roman" w:hAnsi="Times New Roman" w:eastAsia="宋体" w:cs="Times New Roman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2024-02-27T07:24:00Z</dcterms:created>
  <dc:creator>橘子味的芒果</dc:creator>
  <cp:lastModifiedBy>橘子味的芒果</cp:lastModifiedBy>
  <dcterms:modified xsi:type="dcterms:W3CDTF">2024-02-27T08:04:03Z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9A5C009100924FBC96A9D191B6468162_11</vt:lpwstr>
  </property>
</Properties>
</file>