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黑体_GBK" w:hAnsi="宋体" w:eastAsia="方正黑体_GBK"/>
          <w:sz w:val="32"/>
        </w:rPr>
      </w:pPr>
      <w:r>
        <w:rPr>
          <w:rFonts w:hint="eastAsia" w:ascii="方正黑体_GBK" w:hAnsi="宋体" w:eastAsia="方正黑体_GBK"/>
          <w:sz w:val="32"/>
        </w:rPr>
        <w:t>附件1</w:t>
      </w:r>
    </w:p>
    <w:p>
      <w:pPr>
        <w:jc w:val="center"/>
        <w:rPr>
          <w:rFonts w:hint="eastAsia" w:ascii="方正小标宋_GBK" w:hAnsi="宋体" w:eastAsia="方正小标宋_GBK"/>
          <w:sz w:val="28"/>
          <w:szCs w:val="28"/>
          <w:lang w:eastAsia="zh-CN"/>
        </w:rPr>
      </w:pP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2020</w:t>
      </w:r>
      <w:r>
        <w:rPr>
          <w:rFonts w:hint="eastAsia" w:ascii="方正小标宋_GBK" w:hAnsi="宋体" w:eastAsia="方正小标宋_GBK"/>
          <w:sz w:val="44"/>
          <w:szCs w:val="44"/>
        </w:rPr>
        <w:t>届“毕业生之星”推荐名额分配表</w:t>
      </w:r>
    </w:p>
    <w:tbl>
      <w:tblPr>
        <w:tblStyle w:val="5"/>
        <w:tblpPr w:leftFromText="180" w:rightFromText="180" w:vertAnchor="text" w:horzAnchor="margin" w:tblpXSpec="center" w:tblpY="5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2"/>
        <w:gridCol w:w="241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</w:rPr>
              <w:t>院系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优秀毕业生人数</w:t>
            </w:r>
          </w:p>
          <w:p>
            <w:pPr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（本专科）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可推荐名额（≤10%）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药学院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中药学院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生命科学与技术学院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国际医药商学院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理学院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工学院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基础医学与临床药学学院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外语系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高等职业技术学院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药物科学研究院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马克思主义学院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6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sz w:val="28"/>
                <w:szCs w:val="28"/>
              </w:rPr>
              <w:t>合计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296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792B"/>
    <w:rsid w:val="00C21F8F"/>
    <w:rsid w:val="00F7792B"/>
    <w:rsid w:val="32B8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uiPriority w:val="0"/>
    <w:pPr>
      <w:ind w:firstLine="360"/>
    </w:p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uiPriority w:val="0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2019-05-17T01:24:00Z</dcterms:created>
  <dc:creator>lenovo</dc:creator>
  <cp:lastModifiedBy>春林</cp:lastModifiedBy>
  <dcterms:modified xsi:type="dcterms:W3CDTF">2020-05-18T01:43:12Z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