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7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优秀易班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工作</w:t>
      </w:r>
      <w:r>
        <w:rPr>
          <w:rFonts w:eastAsia="华文中宋"/>
          <w:b/>
          <w:kern w:val="0"/>
          <w:sz w:val="36"/>
          <w:szCs w:val="44"/>
        </w:rPr>
        <w:t>案例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 xml:space="preserve"> 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40F76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90"/>
        <w:gridCol w:w="1722"/>
        <w:gridCol w:w="2703"/>
      </w:tblGrid>
      <w:tr w14:paraId="0BBE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5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622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E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案例负责人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学生参与率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3B0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4A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优秀易班共建案例申报范围包含但不限于：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8"/>
                <w:lang w:eastAsia="zh-CN"/>
              </w:rPr>
              <w:t>主题活动、信息化建设、创新制度、易班文化产品等。</w:t>
            </w:r>
          </w:p>
          <w:p w14:paraId="55A6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82" w:hanging="482" w:hangingChars="200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bCs w:val="0"/>
                <w:sz w:val="24"/>
                <w:szCs w:val="28"/>
              </w:rPr>
              <w:t>主要工作介绍限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  <w:lang w:val="en-US" w:eastAsia="zh-CN"/>
              </w:rPr>
              <w:t>1000</w:t>
            </w:r>
            <w:r>
              <w:rPr>
                <w:rFonts w:ascii="仿宋_GB2312" w:eastAsia="仿宋_GB2312"/>
                <w:b/>
                <w:bCs w:val="0"/>
                <w:sz w:val="24"/>
                <w:szCs w:val="28"/>
              </w:rPr>
              <w:t>字以内</w:t>
            </w: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  <w:lang w:eastAsia="zh-CN"/>
              </w:rPr>
              <w:t>，遴选后用于专题内容展示。</w:t>
            </w:r>
          </w:p>
          <w:p w14:paraId="667F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81" w:leftChars="229" w:firstLine="0" w:firstLineChars="0"/>
              <w:textAlignment w:val="auto"/>
              <w:rPr>
                <w:rFonts w:ascii="仿宋_GB2312" w:eastAsia="仿宋_GB2312"/>
                <w:b/>
                <w:color w:val="auto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材料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内容包含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8"/>
                <w:lang w:eastAsia="zh-CN"/>
              </w:rPr>
              <w:t>但不限于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：</w:t>
            </w:r>
          </w:p>
          <w:p w14:paraId="4ED2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  <w:t>1.案例概述;</w:t>
            </w:r>
          </w:p>
          <w:p w14:paraId="79974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  <w:t>2.主要做法；</w:t>
            </w:r>
          </w:p>
          <w:p w14:paraId="09F7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  <w:t>3.特色介绍；</w:t>
            </w:r>
          </w:p>
          <w:p w14:paraId="2E52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  <w:t>4.经验与启示（若案例为活动或信息化建设需提供案例相关数据）；</w:t>
            </w:r>
          </w:p>
          <w:p w14:paraId="21B3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sz w:val="24"/>
                <w:szCs w:val="28"/>
                <w:lang w:val="en-US" w:eastAsia="zh-CN"/>
              </w:rPr>
              <w:t>5.其他。</w:t>
            </w:r>
          </w:p>
          <w:p w14:paraId="5DE53C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0A25D0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eastAsia="仿宋_GB2312"/>
                <w:b w:val="0"/>
                <w:bCs/>
                <w:color w:val="auto"/>
                <w:sz w:val="24"/>
                <w:szCs w:val="28"/>
              </w:rPr>
            </w:pPr>
          </w:p>
        </w:tc>
      </w:tr>
      <w:tr w14:paraId="169F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ADA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E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图片像素不低于1280x800，支持jpg、jpeg、png格式。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遴选后用于专题内容展示。</w:t>
            </w:r>
          </w:p>
          <w:p w14:paraId="10DF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</w:p>
        </w:tc>
      </w:tr>
    </w:tbl>
    <w:p w14:paraId="0BAED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33F4"/>
    <w:rsid w:val="30157A68"/>
    <w:rsid w:val="43056EDF"/>
    <w:rsid w:val="4C1250D5"/>
    <w:rsid w:val="5C3E33F4"/>
    <w:rsid w:val="6F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223</Characters>
  <Lines>0</Lines>
  <Paragraphs>0</Paragraphs>
  <TotalTime>0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2021-12-30T02:32:00Z</dcterms:created>
  <dc:creator>db</dc:creator>
  <cp:lastModifiedBy>橘子味的芒果</cp:lastModifiedBy>
  <dcterms:modified xsi:type="dcterms:W3CDTF">2025-11-06T07:56:34Z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1BCBE69E49AF4759BE4DED341FE7F5C6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