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C6984">
      <w:pPr>
        <w:pStyle w:val="2"/>
        <w:adjustRightInd w:val="0"/>
        <w:snapToGrid w:val="0"/>
        <w:spacing w:after="120" w:line="440" w:lineRule="atLeast"/>
        <w:ind w:left="0"/>
        <w:rPr>
          <w:rFonts w:ascii="宋体" w:hAnsi="宋体" w:cs="宋体"/>
          <w:spacing w:val="-23"/>
          <w:sz w:val="20"/>
          <w:szCs w:val="21"/>
        </w:rPr>
      </w:pPr>
      <w:bookmarkStart w:id="0" w:name="_GoBack"/>
      <w:r>
        <w:rPr>
          <w:rFonts w:hint="eastAsia" w:ascii="仿宋_GB2312" w:hAnsi="Calibri" w:eastAsia="仿宋_GB2312" w:cs="宋体"/>
          <w:b/>
          <w:bCs/>
          <w:spacing w:val="-23"/>
          <w:sz w:val="28"/>
          <w:szCs w:val="32"/>
        </w:rPr>
        <w:t>附件2</w:t>
      </w:r>
      <w:r>
        <w:rPr>
          <w:rFonts w:hint="eastAsia" w:ascii="仿宋_GB2312" w:hAnsi="Calibri" w:eastAsia="仿宋_GB2312" w:cs="宋体"/>
          <w:b/>
          <w:bCs/>
          <w:spacing w:val="-23"/>
          <w:sz w:val="28"/>
          <w:szCs w:val="32"/>
          <w:lang w:eastAsia="zh-Hans"/>
        </w:rPr>
        <w:t>.“新青年·联合国</w:t>
      </w:r>
      <w:r>
        <w:rPr>
          <w:rFonts w:hint="eastAsia" w:ascii="仿宋_GB2312" w:hAnsi="Calibri" w:eastAsia="仿宋_GB2312" w:cs="宋体"/>
          <w:b/>
          <w:bCs/>
          <w:spacing w:val="-23"/>
          <w:sz w:val="28"/>
          <w:szCs w:val="32"/>
        </w:rPr>
        <w:t>驻日内瓦总部实地交流项目（医学方向）</w:t>
      </w:r>
      <w:r>
        <w:rPr>
          <w:rFonts w:hint="eastAsia" w:ascii="仿宋_GB2312" w:hAnsi="Calibri" w:eastAsia="仿宋_GB2312" w:cs="宋体"/>
          <w:b/>
          <w:bCs/>
          <w:spacing w:val="-23"/>
          <w:sz w:val="28"/>
          <w:szCs w:val="32"/>
          <w:lang w:eastAsia="zh-Hans"/>
        </w:rPr>
        <w:t>”行程安排</w:t>
      </w:r>
    </w:p>
    <w:bookmarkEnd w:id="0"/>
    <w:tbl>
      <w:tblPr>
        <w:tblStyle w:val="4"/>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4"/>
        <w:gridCol w:w="5647"/>
      </w:tblGrid>
      <w:tr w14:paraId="3E5D3618">
        <w:tc>
          <w:tcPr>
            <w:tcW w:w="8517" w:type="dxa"/>
            <w:gridSpan w:val="2"/>
          </w:tcPr>
          <w:p w14:paraId="68B53528">
            <w:pPr>
              <w:adjustRightInd w:val="0"/>
              <w:snapToGrid w:val="0"/>
              <w:jc w:val="center"/>
              <w:rPr>
                <w:rFonts w:ascii="宋体" w:hAnsi="宋体" w:cs="宋体"/>
                <w:sz w:val="18"/>
                <w:szCs w:val="20"/>
              </w:rPr>
            </w:pPr>
            <w:r>
              <w:rPr>
                <w:rFonts w:hint="eastAsia" w:ascii="PingFang SC Regular" w:hAnsi="PingFang SC Regular" w:eastAsia="PingFang SC Regular" w:cs="PingFang SC Regular"/>
                <w:b/>
                <w:bCs/>
                <w:szCs w:val="21"/>
                <w:lang w:eastAsia="zh-Hans"/>
              </w:rPr>
              <w:t>先导课</w:t>
            </w:r>
            <w:r>
              <w:rPr>
                <w:rFonts w:ascii="PingFang SC Regular" w:hAnsi="PingFang SC Regular" w:eastAsia="PingFang SC Regular" w:cs="PingFang SC Regular"/>
                <w:b/>
                <w:bCs/>
                <w:szCs w:val="21"/>
                <w:lang w:eastAsia="zh-Hans"/>
              </w:rPr>
              <w:t>（</w:t>
            </w:r>
            <w:r>
              <w:rPr>
                <w:rFonts w:hint="eastAsia" w:ascii="PingFang SC Regular" w:hAnsi="PingFang SC Regular" w:eastAsia="PingFang SC Regular" w:cs="PingFang SC Regular"/>
                <w:b/>
                <w:bCs/>
                <w:szCs w:val="21"/>
                <w:lang w:eastAsia="zh-Hans"/>
              </w:rPr>
              <w:t>线上形式</w:t>
            </w:r>
            <w:r>
              <w:rPr>
                <w:rFonts w:ascii="PingFang SC Regular" w:hAnsi="PingFang SC Regular" w:eastAsia="PingFang SC Regular" w:cs="PingFang SC Regular"/>
                <w:b/>
                <w:bCs/>
                <w:sz w:val="22"/>
                <w:szCs w:val="22"/>
                <w:lang w:eastAsia="zh-Hans"/>
              </w:rPr>
              <w:t>）</w:t>
            </w:r>
          </w:p>
        </w:tc>
      </w:tr>
      <w:tr w14:paraId="49A6EB5A">
        <w:tc>
          <w:tcPr>
            <w:tcW w:w="2805" w:type="dxa"/>
          </w:tcPr>
          <w:p w14:paraId="209A43D1">
            <w:pPr>
              <w:autoSpaceDE w:val="0"/>
              <w:autoSpaceDN w:val="0"/>
              <w:adjustRightInd w:val="0"/>
              <w:snapToGrid w:val="0"/>
              <w:jc w:val="center"/>
              <w:rPr>
                <w:rFonts w:ascii="PingFang SC Regular" w:hAnsi="PingFang SC Regular" w:eastAsia="PingFang SC Regular" w:cs="PingFang SC Regular"/>
                <w:b/>
                <w:bCs/>
                <w:sz w:val="16"/>
                <w:szCs w:val="16"/>
                <w:lang w:eastAsia="zh-Hans"/>
              </w:rPr>
            </w:pPr>
            <w:r>
              <w:rPr>
                <w:rFonts w:hint="eastAsia" w:ascii="PingFang SC Regular" w:hAnsi="PingFang SC Regular" w:eastAsia="PingFang SC Regular" w:cs="PingFang SC Regular"/>
                <w:b/>
                <w:bCs/>
                <w:sz w:val="16"/>
                <w:szCs w:val="16"/>
                <w:lang w:eastAsia="zh-Hans"/>
              </w:rPr>
              <w:t>时间</w:t>
            </w:r>
          </w:p>
        </w:tc>
        <w:tc>
          <w:tcPr>
            <w:tcW w:w="5712" w:type="dxa"/>
          </w:tcPr>
          <w:p w14:paraId="7D6E73DA">
            <w:pPr>
              <w:autoSpaceDE w:val="0"/>
              <w:autoSpaceDN w:val="0"/>
              <w:adjustRightInd w:val="0"/>
              <w:snapToGrid w:val="0"/>
              <w:jc w:val="center"/>
              <w:rPr>
                <w:rFonts w:ascii="PingFang SC Regular" w:hAnsi="PingFang SC Regular" w:eastAsia="PingFang SC Regular" w:cs="PingFang SC Regular"/>
                <w:b/>
                <w:bCs/>
                <w:sz w:val="16"/>
                <w:szCs w:val="16"/>
                <w:lang w:eastAsia="zh-Hans"/>
              </w:rPr>
            </w:pPr>
            <w:r>
              <w:rPr>
                <w:rFonts w:hint="eastAsia" w:ascii="PingFang SC Regular" w:hAnsi="PingFang SC Regular" w:eastAsia="PingFang SC Regular" w:cs="PingFang SC Regular"/>
                <w:b/>
                <w:bCs/>
                <w:sz w:val="16"/>
                <w:szCs w:val="16"/>
                <w:lang w:eastAsia="zh-Hans"/>
              </w:rPr>
              <w:t>课程内容</w:t>
            </w:r>
          </w:p>
        </w:tc>
      </w:tr>
      <w:tr w14:paraId="11A65E44">
        <w:trPr>
          <w:trHeight w:val="90" w:hRule="atLeast"/>
        </w:trPr>
        <w:tc>
          <w:tcPr>
            <w:tcW w:w="2805" w:type="dxa"/>
            <w:vAlign w:val="center"/>
          </w:tcPr>
          <w:p w14:paraId="09DD1E59">
            <w:pPr>
              <w:adjustRightInd w:val="0"/>
              <w:snapToGrid w:val="0"/>
              <w:jc w:val="center"/>
              <w:rPr>
                <w:rFonts w:ascii="PingFang SC Regular" w:hAnsi="PingFang SC Regular" w:eastAsia="PingFang SC Regular" w:cs="PingFang SC Regular"/>
                <w:b/>
                <w:bCs/>
                <w:sz w:val="16"/>
                <w:szCs w:val="16"/>
                <w:lang w:eastAsia="zh-Hans"/>
              </w:rPr>
            </w:pPr>
            <w:r>
              <w:rPr>
                <w:rFonts w:hint="eastAsia" w:ascii="PingFang SC Regular" w:hAnsi="PingFang SC Regular" w:eastAsia="PingFang SC Regular" w:cs="PingFang SC Regular"/>
                <w:b/>
                <w:bCs/>
                <w:sz w:val="16"/>
                <w:szCs w:val="16"/>
                <w:lang w:eastAsia="zh-Hans"/>
              </w:rPr>
              <w:t>D</w:t>
            </w:r>
            <w:r>
              <w:rPr>
                <w:rFonts w:ascii="PingFang SC Regular" w:hAnsi="PingFang SC Regular" w:eastAsia="PingFang SC Regular" w:cs="PingFang SC Regular"/>
                <w:b/>
                <w:bCs/>
                <w:sz w:val="16"/>
                <w:szCs w:val="16"/>
                <w:lang w:eastAsia="zh-Hans"/>
              </w:rPr>
              <w:t>1</w:t>
            </w:r>
          </w:p>
          <w:p w14:paraId="3EEDAC03">
            <w:pPr>
              <w:adjustRightInd w:val="0"/>
              <w:snapToGrid w:val="0"/>
              <w:jc w:val="center"/>
              <w:rPr>
                <w:rFonts w:ascii="宋体" w:hAnsi="宋体" w:cs="宋体"/>
                <w:sz w:val="18"/>
                <w:szCs w:val="20"/>
              </w:rPr>
            </w:pPr>
            <w:r>
              <w:rPr>
                <w:rFonts w:ascii="PingFang SC Regular" w:hAnsi="PingFang SC Regular" w:eastAsia="PingFang SC Regular" w:cs="PingFang SC Regular"/>
                <w:b/>
                <w:bCs/>
                <w:sz w:val="16"/>
                <w:szCs w:val="16"/>
                <w:lang w:eastAsia="zh-Hans"/>
              </w:rPr>
              <w:t>19</w:t>
            </w:r>
            <w:r>
              <w:rPr>
                <w:rFonts w:hint="eastAsia" w:ascii="PingFang SC Regular" w:hAnsi="PingFang SC Regular" w:eastAsia="PingFang SC Regular" w:cs="PingFang SC Regular"/>
                <w:b/>
                <w:bCs/>
                <w:sz w:val="16"/>
                <w:szCs w:val="16"/>
                <w:lang w:eastAsia="zh-Hans"/>
              </w:rPr>
              <w:t>:</w:t>
            </w:r>
            <w:r>
              <w:rPr>
                <w:rFonts w:ascii="PingFang SC Regular" w:hAnsi="PingFang SC Regular" w:eastAsia="PingFang SC Regular" w:cs="PingFang SC Regular"/>
                <w:b/>
                <w:bCs/>
                <w:sz w:val="16"/>
                <w:szCs w:val="16"/>
                <w:lang w:eastAsia="zh-Hans"/>
              </w:rPr>
              <w:t>00</w:t>
            </w:r>
          </w:p>
        </w:tc>
        <w:tc>
          <w:tcPr>
            <w:tcW w:w="5712" w:type="dxa"/>
          </w:tcPr>
          <w:p w14:paraId="79D5F904">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·欢迎仪式：项目</w:t>
            </w:r>
            <w:r>
              <w:rPr>
                <w:rFonts w:hint="eastAsia" w:ascii="pingfang sc" w:hAnsi="pingfang sc" w:eastAsia="pingfang sc" w:cs="pingfang sc"/>
                <w:sz w:val="16"/>
                <w:szCs w:val="16"/>
                <w:lang w:eastAsia="zh-Hans"/>
              </w:rPr>
              <w:t>介绍</w:t>
            </w:r>
            <w:r>
              <w:rPr>
                <w:rFonts w:ascii="pingfang sc" w:hAnsi="pingfang sc" w:eastAsia="pingfang sc" w:cs="pingfang sc"/>
                <w:sz w:val="16"/>
                <w:szCs w:val="16"/>
              </w:rPr>
              <w:t xml:space="preserve">、日程安排、注意事项 </w:t>
            </w:r>
          </w:p>
          <w:p w14:paraId="76F9474D">
            <w:pPr>
              <w:adjustRightInd w:val="0"/>
              <w:snapToGrid w:val="0"/>
              <w:jc w:val="center"/>
              <w:rPr>
                <w:rFonts w:ascii="pingfang sc" w:hAnsi="pingfang sc" w:eastAsia="pingfang sc" w:cs="pingfang sc"/>
                <w:sz w:val="16"/>
                <w:szCs w:val="16"/>
                <w:lang w:eastAsia="zh-Hans"/>
              </w:rPr>
            </w:pPr>
            <w:r>
              <w:rPr>
                <w:rFonts w:ascii="pingfang sc" w:hAnsi="pingfang sc" w:eastAsia="pingfang sc" w:cs="pingfang sc"/>
                <w:sz w:val="16"/>
                <w:szCs w:val="16"/>
              </w:rPr>
              <w:t>·破冰环节：队员自我</w:t>
            </w:r>
            <w:r>
              <w:rPr>
                <w:rFonts w:hint="eastAsia" w:ascii="pingfang sc" w:hAnsi="pingfang sc" w:eastAsia="pingfang sc" w:cs="pingfang sc"/>
                <w:sz w:val="16"/>
                <w:szCs w:val="16"/>
                <w:lang w:eastAsia="zh-Hans"/>
              </w:rPr>
              <w:t>介绍</w:t>
            </w:r>
          </w:p>
          <w:p w14:paraId="29D0973F">
            <w:pPr>
              <w:adjustRightInd w:val="0"/>
              <w:snapToGrid w:val="0"/>
              <w:jc w:val="center"/>
              <w:rPr>
                <w:rFonts w:ascii="宋体" w:hAnsi="宋体" w:cs="宋体"/>
                <w:sz w:val="18"/>
                <w:szCs w:val="20"/>
              </w:rPr>
            </w:pPr>
            <w:r>
              <w:rPr>
                <w:rFonts w:ascii="pingfang sc" w:hAnsi="pingfang sc" w:eastAsia="pingfang sc" w:cs="pingfang sc"/>
                <w:sz w:val="16"/>
                <w:szCs w:val="16"/>
                <w:lang w:eastAsia="zh-Hans"/>
              </w:rPr>
              <w:t>·</w:t>
            </w:r>
            <w:r>
              <w:rPr>
                <w:rFonts w:hint="eastAsia" w:ascii="pingfang sc" w:hAnsi="pingfang sc" w:eastAsia="pingfang sc" w:cs="pingfang sc"/>
                <w:sz w:val="16"/>
                <w:szCs w:val="16"/>
                <w:lang w:eastAsia="zh-Hans"/>
              </w:rPr>
              <w:t xml:space="preserve">了解联合国：联合国使命及组织构架 </w:t>
            </w:r>
          </w:p>
        </w:tc>
      </w:tr>
      <w:tr w14:paraId="1F508FA2">
        <w:tc>
          <w:tcPr>
            <w:tcW w:w="2805" w:type="dxa"/>
            <w:vAlign w:val="center"/>
          </w:tcPr>
          <w:p w14:paraId="43051A3F">
            <w:pPr>
              <w:adjustRightInd w:val="0"/>
              <w:snapToGrid w:val="0"/>
              <w:jc w:val="center"/>
              <w:rPr>
                <w:rFonts w:ascii="PingFang SC Regular" w:hAnsi="PingFang SC Regular" w:eastAsia="PingFang SC Regular" w:cs="PingFang SC Regular"/>
                <w:b/>
                <w:bCs/>
                <w:sz w:val="16"/>
                <w:szCs w:val="16"/>
                <w:lang w:eastAsia="zh-Hans"/>
              </w:rPr>
            </w:pPr>
            <w:r>
              <w:rPr>
                <w:rFonts w:hint="eastAsia" w:ascii="PingFang SC Regular" w:hAnsi="PingFang SC Regular" w:eastAsia="PingFang SC Regular" w:cs="PingFang SC Regular"/>
                <w:b/>
                <w:bCs/>
                <w:sz w:val="16"/>
                <w:szCs w:val="16"/>
                <w:lang w:eastAsia="zh-Hans"/>
              </w:rPr>
              <w:t>D</w:t>
            </w:r>
            <w:r>
              <w:rPr>
                <w:rFonts w:ascii="PingFang SC Regular" w:hAnsi="PingFang SC Regular" w:eastAsia="PingFang SC Regular" w:cs="PingFang SC Regular"/>
                <w:b/>
                <w:bCs/>
                <w:sz w:val="16"/>
                <w:szCs w:val="16"/>
                <w:lang w:eastAsia="zh-Hans"/>
              </w:rPr>
              <w:t>2</w:t>
            </w:r>
          </w:p>
          <w:p w14:paraId="32E93913">
            <w:pPr>
              <w:adjustRightInd w:val="0"/>
              <w:snapToGrid w:val="0"/>
              <w:jc w:val="center"/>
              <w:rPr>
                <w:rFonts w:ascii="宋体" w:hAnsi="宋体" w:eastAsia="PingFang SC Regular" w:cs="宋体"/>
                <w:sz w:val="18"/>
                <w:szCs w:val="20"/>
                <w:lang w:eastAsia="zh-Hans"/>
              </w:rPr>
            </w:pPr>
            <w:r>
              <w:rPr>
                <w:rFonts w:ascii="PingFang SC Regular" w:hAnsi="PingFang SC Regular" w:eastAsia="PingFang SC Regular" w:cs="PingFang SC Regular"/>
                <w:b/>
                <w:bCs/>
                <w:sz w:val="16"/>
                <w:szCs w:val="16"/>
                <w:lang w:eastAsia="zh-Hans"/>
              </w:rPr>
              <w:t>19</w:t>
            </w:r>
            <w:r>
              <w:rPr>
                <w:rFonts w:hint="eastAsia" w:ascii="PingFang SC Regular" w:hAnsi="PingFang SC Regular" w:eastAsia="PingFang SC Regular" w:cs="PingFang SC Regular"/>
                <w:b/>
                <w:bCs/>
                <w:sz w:val="16"/>
                <w:szCs w:val="16"/>
                <w:lang w:eastAsia="zh-Hans"/>
              </w:rPr>
              <w:t>:</w:t>
            </w:r>
            <w:r>
              <w:rPr>
                <w:rFonts w:ascii="PingFang SC Regular" w:hAnsi="PingFang SC Regular" w:eastAsia="PingFang SC Regular" w:cs="PingFang SC Regular"/>
                <w:b/>
                <w:bCs/>
                <w:sz w:val="16"/>
                <w:szCs w:val="16"/>
                <w:lang w:eastAsia="zh-Hans"/>
              </w:rPr>
              <w:t xml:space="preserve">00 </w:t>
            </w:r>
          </w:p>
        </w:tc>
        <w:tc>
          <w:tcPr>
            <w:tcW w:w="5712" w:type="dxa"/>
          </w:tcPr>
          <w:p w14:paraId="1FD5190C">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·2015</w:t>
            </w:r>
            <w:r>
              <w:rPr>
                <w:rFonts w:hint="eastAsia" w:ascii="pingfang sc" w:hAnsi="pingfang sc" w:eastAsia="pingfang sc" w:cs="pingfang sc"/>
                <w:sz w:val="16"/>
                <w:szCs w:val="16"/>
              </w:rPr>
              <w:t>—</w:t>
            </w:r>
            <w:r>
              <w:rPr>
                <w:rFonts w:ascii="pingfang sc" w:hAnsi="pingfang sc" w:eastAsia="pingfang sc" w:cs="pingfang sc"/>
                <w:sz w:val="16"/>
                <w:szCs w:val="16"/>
              </w:rPr>
              <w:t xml:space="preserve">2030年可持续发展议程 </w:t>
            </w:r>
          </w:p>
          <w:p w14:paraId="5D9308C2">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·联合国可持续发展目标研讨会</w:t>
            </w:r>
          </w:p>
          <w:p w14:paraId="5232886D">
            <w:pPr>
              <w:adjustRightInd w:val="0"/>
              <w:snapToGrid w:val="0"/>
              <w:jc w:val="center"/>
              <w:rPr>
                <w:rFonts w:ascii="宋体" w:hAnsi="宋体" w:cs="宋体"/>
                <w:sz w:val="18"/>
                <w:szCs w:val="20"/>
              </w:rPr>
            </w:pPr>
            <w:r>
              <w:rPr>
                <w:rFonts w:ascii="pingfang sc" w:hAnsi="pingfang sc" w:eastAsia="pingfang sc" w:cs="pingfang sc"/>
                <w:sz w:val="16"/>
                <w:szCs w:val="16"/>
              </w:rPr>
              <w:t>·</w:t>
            </w:r>
            <w:r>
              <w:rPr>
                <w:rFonts w:hint="eastAsia" w:ascii="pingfang sc" w:hAnsi="pingfang sc" w:eastAsia="pingfang sc" w:cs="pingfang sc"/>
                <w:sz w:val="16"/>
                <w:szCs w:val="16"/>
                <w:lang w:eastAsia="zh-Hans"/>
              </w:rPr>
              <w:t>学术写作指导</w:t>
            </w:r>
          </w:p>
        </w:tc>
      </w:tr>
      <w:tr w14:paraId="35032DB8">
        <w:trPr>
          <w:trHeight w:val="513" w:hRule="atLeast"/>
        </w:trPr>
        <w:tc>
          <w:tcPr>
            <w:tcW w:w="2805" w:type="dxa"/>
            <w:vAlign w:val="center"/>
          </w:tcPr>
          <w:p w14:paraId="33D6F9DA">
            <w:pPr>
              <w:adjustRightInd w:val="0"/>
              <w:snapToGrid w:val="0"/>
              <w:jc w:val="center"/>
              <w:rPr>
                <w:rFonts w:ascii="PingFang SC Regular" w:hAnsi="PingFang SC Regular" w:eastAsia="PingFang SC Regular" w:cs="PingFang SC Regular"/>
                <w:b/>
                <w:bCs/>
                <w:sz w:val="16"/>
                <w:szCs w:val="16"/>
                <w:lang w:eastAsia="zh-Hans"/>
              </w:rPr>
            </w:pPr>
            <w:r>
              <w:rPr>
                <w:rFonts w:hint="eastAsia" w:ascii="PingFang SC Regular" w:hAnsi="PingFang SC Regular" w:eastAsia="PingFang SC Regular" w:cs="PingFang SC Regular"/>
                <w:b/>
                <w:bCs/>
                <w:sz w:val="16"/>
                <w:szCs w:val="16"/>
                <w:lang w:eastAsia="zh-Hans"/>
              </w:rPr>
              <w:t>D</w:t>
            </w:r>
            <w:r>
              <w:rPr>
                <w:rFonts w:ascii="PingFang SC Regular" w:hAnsi="PingFang SC Regular" w:eastAsia="PingFang SC Regular" w:cs="PingFang SC Regular"/>
                <w:b/>
                <w:bCs/>
                <w:sz w:val="16"/>
                <w:szCs w:val="16"/>
                <w:lang w:eastAsia="zh-Hans"/>
              </w:rPr>
              <w:t>3</w:t>
            </w:r>
          </w:p>
          <w:p w14:paraId="125AE22B">
            <w:pPr>
              <w:adjustRightInd w:val="0"/>
              <w:snapToGrid w:val="0"/>
              <w:jc w:val="center"/>
              <w:rPr>
                <w:rFonts w:ascii="宋体" w:hAnsi="宋体" w:eastAsia="宋体" w:cs="宋体"/>
                <w:sz w:val="18"/>
                <w:szCs w:val="20"/>
                <w:lang w:eastAsia="zh-Hans"/>
              </w:rPr>
            </w:pPr>
            <w:r>
              <w:rPr>
                <w:rFonts w:ascii="PingFang SC Regular" w:hAnsi="PingFang SC Regular" w:eastAsia="PingFang SC Regular" w:cs="PingFang SC Regular"/>
                <w:b/>
                <w:bCs/>
                <w:sz w:val="16"/>
                <w:szCs w:val="16"/>
                <w:lang w:eastAsia="zh-Hans"/>
              </w:rPr>
              <w:t>19</w:t>
            </w:r>
            <w:r>
              <w:rPr>
                <w:rFonts w:hint="eastAsia" w:ascii="PingFang SC Regular" w:hAnsi="PingFang SC Regular" w:eastAsia="PingFang SC Regular" w:cs="PingFang SC Regular"/>
                <w:b/>
                <w:bCs/>
                <w:sz w:val="16"/>
                <w:szCs w:val="16"/>
                <w:lang w:eastAsia="zh-Hans"/>
              </w:rPr>
              <w:t>:</w:t>
            </w:r>
            <w:r>
              <w:rPr>
                <w:rFonts w:ascii="PingFang SC Regular" w:hAnsi="PingFang SC Regular" w:eastAsia="PingFang SC Regular" w:cs="PingFang SC Regular"/>
                <w:b/>
                <w:bCs/>
                <w:sz w:val="16"/>
                <w:szCs w:val="16"/>
                <w:lang w:eastAsia="zh-Hans"/>
              </w:rPr>
              <w:t xml:space="preserve">00 </w:t>
            </w:r>
          </w:p>
        </w:tc>
        <w:tc>
          <w:tcPr>
            <w:tcW w:w="5712" w:type="dxa"/>
          </w:tcPr>
          <w:p w14:paraId="2117D8A4">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lang w:eastAsia="zh-Hans"/>
              </w:rPr>
              <w:t>学术</w:t>
            </w:r>
            <w:r>
              <w:rPr>
                <w:rFonts w:ascii="pingfang sc" w:hAnsi="pingfang sc" w:eastAsia="pingfang sc" w:cs="pingfang sc"/>
                <w:sz w:val="16"/>
                <w:szCs w:val="16"/>
              </w:rPr>
              <w:t>写作指导</w:t>
            </w:r>
            <w:r>
              <w:rPr>
                <w:rFonts w:hint="eastAsia" w:ascii="pingfang sc" w:hAnsi="pingfang sc" w:eastAsia="pingfang sc" w:cs="pingfang sc"/>
                <w:sz w:val="16"/>
                <w:szCs w:val="16"/>
                <w:lang w:eastAsia="zh-Hans"/>
              </w:rPr>
              <w:t>与</w:t>
            </w:r>
            <w:r>
              <w:rPr>
                <w:rFonts w:ascii="pingfang sc" w:hAnsi="pingfang sc" w:eastAsia="pingfang sc" w:cs="pingfang sc"/>
                <w:sz w:val="16"/>
                <w:szCs w:val="16"/>
              </w:rPr>
              <w:t xml:space="preserve">答疑 </w:t>
            </w:r>
          </w:p>
          <w:p w14:paraId="41924BF5">
            <w:pPr>
              <w:adjustRightInd w:val="0"/>
              <w:snapToGrid w:val="0"/>
              <w:jc w:val="center"/>
              <w:rPr>
                <w:rFonts w:ascii="宋体" w:hAnsi="宋体" w:cs="宋体"/>
                <w:sz w:val="18"/>
                <w:szCs w:val="20"/>
              </w:rPr>
            </w:pPr>
            <w:r>
              <w:rPr>
                <w:rFonts w:ascii="pingfang sc" w:hAnsi="pingfang sc" w:eastAsia="pingfang sc" w:cs="pingfang sc"/>
                <w:sz w:val="16"/>
                <w:szCs w:val="16"/>
              </w:rPr>
              <w:t>·行前说明会</w:t>
            </w:r>
          </w:p>
        </w:tc>
      </w:tr>
      <w:tr w14:paraId="13C7A4AB">
        <w:tc>
          <w:tcPr>
            <w:tcW w:w="2805" w:type="dxa"/>
            <w:vAlign w:val="center"/>
          </w:tcPr>
          <w:p w14:paraId="6DA2141F">
            <w:pPr>
              <w:adjustRightInd w:val="0"/>
              <w:snapToGrid w:val="0"/>
              <w:jc w:val="center"/>
              <w:rPr>
                <w:rFonts w:ascii="PingFang SC Regular" w:hAnsi="PingFang SC Regular" w:eastAsia="PingFang SC Regular" w:cs="PingFang SC Regular"/>
                <w:b/>
                <w:bCs/>
                <w:sz w:val="16"/>
                <w:szCs w:val="16"/>
                <w:lang w:eastAsia="zh-Hans"/>
              </w:rPr>
            </w:pPr>
            <w:r>
              <w:rPr>
                <w:rFonts w:hint="eastAsia" w:ascii="PingFang SC Regular" w:hAnsi="PingFang SC Regular" w:eastAsia="PingFang SC Regular" w:cs="PingFang SC Regular"/>
                <w:b/>
                <w:bCs/>
                <w:sz w:val="16"/>
                <w:szCs w:val="16"/>
                <w:lang w:eastAsia="zh-Hans"/>
              </w:rPr>
              <w:t>D</w:t>
            </w:r>
            <w:r>
              <w:rPr>
                <w:rFonts w:ascii="PingFang SC Regular" w:hAnsi="PingFang SC Regular" w:eastAsia="PingFang SC Regular" w:cs="PingFang SC Regular"/>
                <w:b/>
                <w:bCs/>
                <w:sz w:val="16"/>
                <w:szCs w:val="16"/>
                <w:lang w:eastAsia="zh-Hans"/>
              </w:rPr>
              <w:t>4</w:t>
            </w:r>
          </w:p>
          <w:p w14:paraId="3850CC98">
            <w:pPr>
              <w:adjustRightInd w:val="0"/>
              <w:snapToGrid w:val="0"/>
              <w:jc w:val="center"/>
              <w:rPr>
                <w:rFonts w:ascii="PingFang SC Regular" w:hAnsi="PingFang SC Regular" w:eastAsia="PingFang SC Regular" w:cs="PingFang SC Regular"/>
                <w:b/>
                <w:bCs/>
                <w:sz w:val="16"/>
                <w:szCs w:val="16"/>
                <w:lang w:eastAsia="zh-Hans"/>
              </w:rPr>
            </w:pPr>
            <w:r>
              <w:rPr>
                <w:rFonts w:ascii="PingFang SC Regular" w:hAnsi="PingFang SC Regular" w:eastAsia="PingFang SC Regular" w:cs="PingFang SC Regular"/>
                <w:b/>
                <w:bCs/>
                <w:sz w:val="16"/>
                <w:szCs w:val="16"/>
                <w:lang w:eastAsia="zh-Hans"/>
              </w:rPr>
              <w:t>19</w:t>
            </w:r>
            <w:r>
              <w:rPr>
                <w:rFonts w:hint="eastAsia" w:ascii="PingFang SC Regular" w:hAnsi="PingFang SC Regular" w:eastAsia="PingFang SC Regular" w:cs="PingFang SC Regular"/>
                <w:b/>
                <w:bCs/>
                <w:sz w:val="16"/>
                <w:szCs w:val="16"/>
                <w:lang w:eastAsia="zh-Hans"/>
              </w:rPr>
              <w:t>:</w:t>
            </w:r>
            <w:r>
              <w:rPr>
                <w:rFonts w:ascii="PingFang SC Regular" w:hAnsi="PingFang SC Regular" w:eastAsia="PingFang SC Regular" w:cs="PingFang SC Regular"/>
                <w:b/>
                <w:bCs/>
                <w:sz w:val="16"/>
                <w:szCs w:val="16"/>
                <w:lang w:eastAsia="zh-Hans"/>
              </w:rPr>
              <w:t xml:space="preserve">00 </w:t>
            </w:r>
          </w:p>
        </w:tc>
        <w:tc>
          <w:tcPr>
            <w:tcW w:w="5712" w:type="dxa"/>
          </w:tcPr>
          <w:p w14:paraId="34DC02D7">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·讲解主题模拟联合国大会规则</w:t>
            </w:r>
          </w:p>
          <w:p w14:paraId="49B75D82">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lang w:eastAsia="zh-Hans"/>
              </w:rPr>
              <w:t>学习联合</w:t>
            </w:r>
            <w:r>
              <w:rPr>
                <w:rFonts w:hint="eastAsia" w:ascii="pingfang sc" w:hAnsi="pingfang sc" w:eastAsia="pingfang sc" w:cs="pingfang sc"/>
                <w:sz w:val="16"/>
                <w:szCs w:val="16"/>
              </w:rPr>
              <w:t>国会议</w:t>
            </w:r>
            <w:r>
              <w:rPr>
                <w:rFonts w:hint="eastAsia" w:ascii="pingfang sc" w:hAnsi="pingfang sc" w:eastAsia="pingfang sc" w:cs="pingfang sc"/>
                <w:sz w:val="16"/>
                <w:szCs w:val="16"/>
                <w:lang w:eastAsia="zh-Hans"/>
              </w:rPr>
              <w:t>制度</w:t>
            </w:r>
            <w:r>
              <w:rPr>
                <w:rFonts w:ascii="pingfang sc" w:hAnsi="pingfang sc" w:eastAsia="pingfang sc" w:cs="pingfang sc"/>
                <w:sz w:val="16"/>
                <w:szCs w:val="16"/>
              </w:rPr>
              <w:t xml:space="preserve"> </w:t>
            </w:r>
          </w:p>
          <w:p w14:paraId="3E9D59D8">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 xml:space="preserve"> ·学习撰写开场发言 </w:t>
            </w:r>
          </w:p>
          <w:p w14:paraId="0014804F">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 xml:space="preserve"> ·学习撰写</w:t>
            </w:r>
            <w:r>
              <w:rPr>
                <w:rFonts w:hint="eastAsia" w:ascii="pingfang sc" w:hAnsi="pingfang sc" w:eastAsia="pingfang sc" w:cs="pingfang sc"/>
                <w:sz w:val="16"/>
                <w:szCs w:val="16"/>
                <w:lang w:eastAsia="zh-Hans"/>
              </w:rPr>
              <w:t>会议修</w:t>
            </w:r>
            <w:r>
              <w:rPr>
                <w:rFonts w:ascii="pingfang sc" w:hAnsi="pingfang sc" w:eastAsia="pingfang sc" w:cs="pingfang sc"/>
                <w:sz w:val="16"/>
                <w:szCs w:val="16"/>
              </w:rPr>
              <w:t>正案</w:t>
            </w:r>
          </w:p>
        </w:tc>
      </w:tr>
      <w:tr w14:paraId="54302C47">
        <w:tc>
          <w:tcPr>
            <w:tcW w:w="2805" w:type="dxa"/>
            <w:vAlign w:val="center"/>
          </w:tcPr>
          <w:p w14:paraId="258A163F">
            <w:pPr>
              <w:adjustRightInd w:val="0"/>
              <w:snapToGrid w:val="0"/>
              <w:jc w:val="center"/>
              <w:rPr>
                <w:rFonts w:ascii="PingFang SC Regular" w:hAnsi="PingFang SC Regular" w:eastAsia="PingFang SC Regular" w:cs="PingFang SC Regular"/>
                <w:b/>
                <w:bCs/>
                <w:sz w:val="16"/>
                <w:szCs w:val="16"/>
              </w:rPr>
            </w:pPr>
            <w:r>
              <w:rPr>
                <w:rFonts w:hint="eastAsia" w:ascii="PingFang SC Regular" w:hAnsi="PingFang SC Regular" w:eastAsia="PingFang SC Regular" w:cs="PingFang SC Regular"/>
                <w:b/>
                <w:bCs/>
                <w:sz w:val="16"/>
                <w:szCs w:val="16"/>
                <w:lang w:eastAsia="zh-Hans"/>
              </w:rPr>
              <w:t>D</w:t>
            </w:r>
            <w:r>
              <w:rPr>
                <w:rFonts w:hint="eastAsia" w:ascii="PingFang SC Regular" w:hAnsi="PingFang SC Regular" w:eastAsia="PingFang SC Regular" w:cs="PingFang SC Regular"/>
                <w:b/>
                <w:bCs/>
                <w:sz w:val="16"/>
                <w:szCs w:val="16"/>
              </w:rPr>
              <w:t>5</w:t>
            </w:r>
          </w:p>
          <w:p w14:paraId="0ABDA8D2">
            <w:pPr>
              <w:adjustRightInd w:val="0"/>
              <w:snapToGrid w:val="0"/>
              <w:jc w:val="center"/>
              <w:rPr>
                <w:rFonts w:ascii="PingFang SC Regular" w:hAnsi="PingFang SC Regular" w:eastAsia="PingFang SC Regular" w:cs="PingFang SC Regular"/>
                <w:b/>
                <w:bCs/>
                <w:sz w:val="16"/>
                <w:szCs w:val="16"/>
                <w:lang w:eastAsia="zh-Hans"/>
              </w:rPr>
            </w:pPr>
            <w:r>
              <w:rPr>
                <w:rFonts w:ascii="PingFang SC Regular" w:hAnsi="PingFang SC Regular" w:eastAsia="PingFang SC Regular" w:cs="PingFang SC Regular"/>
                <w:b/>
                <w:bCs/>
                <w:sz w:val="16"/>
                <w:szCs w:val="16"/>
                <w:lang w:eastAsia="zh-Hans"/>
              </w:rPr>
              <w:t>19</w:t>
            </w:r>
            <w:r>
              <w:rPr>
                <w:rFonts w:hint="eastAsia" w:ascii="PingFang SC Regular" w:hAnsi="PingFang SC Regular" w:eastAsia="PingFang SC Regular" w:cs="PingFang SC Regular"/>
                <w:b/>
                <w:bCs/>
                <w:sz w:val="16"/>
                <w:szCs w:val="16"/>
                <w:lang w:eastAsia="zh-Hans"/>
              </w:rPr>
              <w:t>:</w:t>
            </w:r>
            <w:r>
              <w:rPr>
                <w:rFonts w:ascii="PingFang SC Regular" w:hAnsi="PingFang SC Regular" w:eastAsia="PingFang SC Regular" w:cs="PingFang SC Regular"/>
                <w:b/>
                <w:bCs/>
                <w:sz w:val="16"/>
                <w:szCs w:val="16"/>
                <w:lang w:eastAsia="zh-Hans"/>
              </w:rPr>
              <w:t xml:space="preserve">00 </w:t>
            </w:r>
          </w:p>
        </w:tc>
        <w:tc>
          <w:tcPr>
            <w:tcW w:w="5712" w:type="dxa"/>
          </w:tcPr>
          <w:p w14:paraId="32EB6516">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涉外商务礼仪培训</w:t>
            </w:r>
          </w:p>
          <w:p w14:paraId="0FBF677E">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人身与财产安全专项培训</w:t>
            </w:r>
          </w:p>
        </w:tc>
      </w:tr>
    </w:tbl>
    <w:p w14:paraId="5EEA3E13">
      <w:pPr>
        <w:adjustRightInd w:val="0"/>
        <w:snapToGrid w:val="0"/>
        <w:rPr>
          <w:rFonts w:ascii="宋体" w:hAnsi="宋体" w:cs="宋体"/>
          <w:sz w:val="18"/>
          <w:szCs w:val="20"/>
        </w:rPr>
      </w:pPr>
    </w:p>
    <w:tbl>
      <w:tblPr>
        <w:tblStyle w:val="3"/>
        <w:tblpPr w:leftFromText="180" w:rightFromText="180" w:vertAnchor="text" w:horzAnchor="page" w:tblpX="1725" w:tblpY="507"/>
        <w:tblOverlap w:val="never"/>
        <w:tblW w:w="8477" w:type="dxa"/>
        <w:tblInd w:w="0" w:type="dxa"/>
        <w:tblLayout w:type="autofit"/>
        <w:tblCellMar>
          <w:top w:w="15" w:type="dxa"/>
          <w:left w:w="15" w:type="dxa"/>
          <w:bottom w:w="15" w:type="dxa"/>
          <w:right w:w="15" w:type="dxa"/>
        </w:tblCellMar>
      </w:tblPr>
      <w:tblGrid>
        <w:gridCol w:w="559"/>
        <w:gridCol w:w="3244"/>
        <w:gridCol w:w="2757"/>
        <w:gridCol w:w="1917"/>
      </w:tblGrid>
      <w:tr w14:paraId="6B4BFFE6">
        <w:trPr>
          <w:trHeight w:val="371" w:hRule="atLeast"/>
        </w:trPr>
        <w:tc>
          <w:tcPr>
            <w:tcW w:w="8477" w:type="dxa"/>
            <w:gridSpan w:val="4"/>
            <w:tcBorders>
              <w:top w:val="single" w:color="auto" w:sz="4" w:space="0"/>
              <w:left w:val="single" w:color="auto" w:sz="4" w:space="0"/>
              <w:bottom w:val="single" w:color="auto" w:sz="4" w:space="0"/>
              <w:right w:val="single" w:color="auto" w:sz="4" w:space="0"/>
            </w:tcBorders>
            <w:vAlign w:val="center"/>
          </w:tcPr>
          <w:p w14:paraId="47999F70">
            <w:pPr>
              <w:autoSpaceDE w:val="0"/>
              <w:autoSpaceDN w:val="0"/>
              <w:adjustRightInd w:val="0"/>
              <w:snapToGrid w:val="0"/>
              <w:jc w:val="center"/>
              <w:rPr>
                <w:rFonts w:ascii="PingFang SC Regular" w:hAnsi="PingFang SC Regular" w:eastAsia="PingFang SC Regular" w:cs="PingFang SC Regular"/>
                <w:b/>
                <w:bCs/>
                <w:szCs w:val="21"/>
              </w:rPr>
            </w:pPr>
            <w:r>
              <w:rPr>
                <w:rFonts w:hint="eastAsia" w:ascii="PingFang SC Regular" w:hAnsi="PingFang SC Regular" w:eastAsia="PingFang SC Regular" w:cs="PingFang SC Regular"/>
                <w:b/>
                <w:bCs/>
                <w:szCs w:val="21"/>
                <w:lang w:eastAsia="zh-Hans"/>
              </w:rPr>
              <w:t>实地交流</w:t>
            </w:r>
            <w:r>
              <w:rPr>
                <w:rFonts w:ascii="PingFang SC Regular" w:hAnsi="PingFang SC Regular" w:eastAsia="PingFang SC Regular" w:cs="PingFang SC Regular"/>
                <w:b/>
                <w:bCs/>
                <w:szCs w:val="21"/>
                <w:lang w:eastAsia="zh-Hans"/>
              </w:rPr>
              <w:t>-</w:t>
            </w:r>
            <w:r>
              <w:rPr>
                <w:rFonts w:hint="eastAsia" w:ascii="PingFang SC Regular" w:hAnsi="PingFang SC Regular" w:eastAsia="PingFang SC Regular" w:cs="PingFang SC Regular"/>
                <w:b/>
                <w:bCs/>
                <w:szCs w:val="21"/>
                <w:lang w:eastAsia="zh-Hans"/>
              </w:rPr>
              <w:t>瑞士日内瓦</w:t>
            </w:r>
            <w:r>
              <w:rPr>
                <w:rFonts w:ascii="PingFang SC Regular" w:hAnsi="PingFang SC Regular" w:eastAsia="PingFang SC Regular" w:cs="PingFang SC Regular"/>
                <w:b/>
                <w:bCs/>
                <w:szCs w:val="21"/>
                <w:lang w:eastAsia="zh-Hans"/>
              </w:rPr>
              <w:t>、</w:t>
            </w:r>
            <w:r>
              <w:rPr>
                <w:rFonts w:hint="eastAsia" w:ascii="PingFang SC Regular" w:hAnsi="PingFang SC Regular" w:eastAsia="PingFang SC Regular" w:cs="PingFang SC Regular"/>
                <w:b/>
                <w:bCs/>
                <w:szCs w:val="21"/>
                <w:lang w:eastAsia="zh-Hans"/>
              </w:rPr>
              <w:t>洛桑</w:t>
            </w:r>
            <w:r>
              <w:rPr>
                <w:rFonts w:ascii="PingFang SC Regular" w:hAnsi="PingFang SC Regular" w:eastAsia="PingFang SC Regular" w:cs="PingFang SC Regular"/>
                <w:b/>
                <w:bCs/>
                <w:szCs w:val="21"/>
                <w:lang w:eastAsia="zh-Hans"/>
              </w:rPr>
              <w:t>、蒙特勒</w:t>
            </w:r>
            <w:r>
              <w:rPr>
                <w:rFonts w:hint="eastAsia" w:ascii="PingFang SC Regular" w:hAnsi="PingFang SC Regular" w:eastAsia="PingFang SC Regular" w:cs="PingFang SC Regular"/>
                <w:b/>
                <w:bCs/>
                <w:szCs w:val="21"/>
              </w:rPr>
              <w:t>；法国·安纳西</w:t>
            </w:r>
          </w:p>
        </w:tc>
      </w:tr>
      <w:tr w14:paraId="02CFC746">
        <w:trPr>
          <w:trHeight w:val="305" w:hRule="atLeast"/>
        </w:trPr>
        <w:tc>
          <w:tcPr>
            <w:tcW w:w="559" w:type="dxa"/>
            <w:tcBorders>
              <w:left w:val="single" w:color="auto" w:sz="4" w:space="0"/>
              <w:bottom w:val="single" w:color="auto" w:sz="4" w:space="0"/>
              <w:right w:val="single" w:color="auto" w:sz="4" w:space="0"/>
            </w:tcBorders>
            <w:vAlign w:val="center"/>
          </w:tcPr>
          <w:p w14:paraId="775F2D32">
            <w:pPr>
              <w:autoSpaceDE w:val="0"/>
              <w:autoSpaceDN w:val="0"/>
              <w:adjustRightInd w:val="0"/>
              <w:snapToGrid w:val="0"/>
              <w:jc w:val="center"/>
              <w:rPr>
                <w:rFonts w:ascii="PingFang SC Regular" w:hAnsi="PingFang SC Regular" w:eastAsia="PingFang SC Regular" w:cs="PingFang SC Regular"/>
                <w:b/>
                <w:bCs/>
                <w:sz w:val="16"/>
                <w:szCs w:val="16"/>
                <w:lang w:eastAsia="zh-Hans"/>
              </w:rPr>
            </w:pPr>
            <w:r>
              <w:rPr>
                <w:rFonts w:hint="eastAsia" w:ascii="PingFang SC Regular" w:hAnsi="PingFang SC Regular" w:eastAsia="PingFang SC Regular" w:cs="PingFang SC Regular"/>
                <w:b/>
                <w:bCs/>
                <w:sz w:val="18"/>
                <w:szCs w:val="18"/>
                <w:lang w:eastAsia="zh-Hans"/>
              </w:rPr>
              <w:t>行程</w:t>
            </w:r>
          </w:p>
        </w:tc>
        <w:tc>
          <w:tcPr>
            <w:tcW w:w="3244" w:type="dxa"/>
            <w:tcBorders>
              <w:top w:val="single" w:color="auto" w:sz="4" w:space="0"/>
              <w:left w:val="single" w:color="auto" w:sz="4" w:space="0"/>
              <w:bottom w:val="single" w:color="auto" w:sz="4" w:space="0"/>
              <w:right w:val="single" w:color="auto" w:sz="4" w:space="0"/>
            </w:tcBorders>
            <w:vAlign w:val="center"/>
          </w:tcPr>
          <w:p w14:paraId="03E2005A">
            <w:pPr>
              <w:autoSpaceDE w:val="0"/>
              <w:autoSpaceDN w:val="0"/>
              <w:adjustRightInd w:val="0"/>
              <w:snapToGrid w:val="0"/>
              <w:jc w:val="center"/>
              <w:rPr>
                <w:rFonts w:ascii="Times New Roman" w:hAnsi="Times New Roman" w:eastAsia="PingFang SC Semibold" w:cs="Times New Roman"/>
                <w:b/>
                <w:bCs/>
                <w:sz w:val="16"/>
                <w:szCs w:val="16"/>
                <w:lang w:eastAsia="zh-Hans"/>
              </w:rPr>
            </w:pPr>
            <w:r>
              <w:rPr>
                <w:rFonts w:ascii="Times New Roman" w:hAnsi="Times New Roman" w:eastAsia="PingFang SC Regular" w:cs="Times New Roman"/>
                <w:b/>
                <w:bCs/>
                <w:sz w:val="18"/>
                <w:szCs w:val="18"/>
              </w:rPr>
              <w:t>上午（9:00-11:00）</w:t>
            </w:r>
          </w:p>
        </w:tc>
        <w:tc>
          <w:tcPr>
            <w:tcW w:w="2757" w:type="dxa"/>
            <w:tcBorders>
              <w:top w:val="single" w:color="auto" w:sz="4" w:space="0"/>
              <w:left w:val="single" w:color="auto" w:sz="4" w:space="0"/>
              <w:bottom w:val="single" w:color="auto" w:sz="4" w:space="0"/>
              <w:right w:val="single" w:color="auto" w:sz="4" w:space="0"/>
            </w:tcBorders>
            <w:vAlign w:val="center"/>
          </w:tcPr>
          <w:p w14:paraId="149E4E2A">
            <w:pPr>
              <w:autoSpaceDE w:val="0"/>
              <w:autoSpaceDN w:val="0"/>
              <w:adjustRightInd w:val="0"/>
              <w:snapToGrid w:val="0"/>
              <w:jc w:val="center"/>
              <w:rPr>
                <w:rFonts w:ascii="Times New Roman" w:hAnsi="Times New Roman" w:eastAsia="PingFang SC Semibold" w:cs="Times New Roman"/>
                <w:b/>
                <w:bCs/>
                <w:sz w:val="16"/>
                <w:szCs w:val="16"/>
                <w:lang w:eastAsia="zh-Hans"/>
              </w:rPr>
            </w:pPr>
            <w:r>
              <w:rPr>
                <w:rFonts w:ascii="Times New Roman" w:hAnsi="Times New Roman" w:eastAsia="PingFang SC Regular" w:cs="Times New Roman"/>
                <w:b/>
                <w:bCs/>
                <w:sz w:val="18"/>
                <w:szCs w:val="18"/>
              </w:rPr>
              <w:t>下午（14:00-18:00）</w:t>
            </w:r>
          </w:p>
        </w:tc>
        <w:tc>
          <w:tcPr>
            <w:tcW w:w="1917" w:type="dxa"/>
            <w:tcBorders>
              <w:top w:val="single" w:color="auto" w:sz="4" w:space="0"/>
              <w:left w:val="single" w:color="auto" w:sz="4" w:space="0"/>
              <w:bottom w:val="single" w:color="auto" w:sz="4" w:space="0"/>
              <w:right w:val="single" w:color="auto" w:sz="4" w:space="0"/>
            </w:tcBorders>
            <w:vAlign w:val="center"/>
          </w:tcPr>
          <w:p w14:paraId="3406F189">
            <w:pPr>
              <w:autoSpaceDE w:val="0"/>
              <w:autoSpaceDN w:val="0"/>
              <w:adjustRightInd w:val="0"/>
              <w:snapToGrid w:val="0"/>
              <w:jc w:val="center"/>
              <w:rPr>
                <w:rFonts w:ascii="Times New Roman" w:hAnsi="Times New Roman" w:eastAsia="PingFang SC Semibold" w:cs="Times New Roman"/>
                <w:b/>
                <w:bCs/>
                <w:sz w:val="16"/>
                <w:szCs w:val="16"/>
                <w:lang w:eastAsia="zh-Hans"/>
              </w:rPr>
            </w:pPr>
            <w:r>
              <w:rPr>
                <w:rFonts w:ascii="Times New Roman" w:hAnsi="Times New Roman" w:eastAsia="PingFang SC Regular" w:cs="Times New Roman"/>
                <w:b/>
                <w:bCs/>
                <w:sz w:val="18"/>
                <w:szCs w:val="18"/>
              </w:rPr>
              <w:t>晚上（18:00-21:00）</w:t>
            </w:r>
          </w:p>
        </w:tc>
      </w:tr>
      <w:tr w14:paraId="0E59C647">
        <w:trPr>
          <w:trHeight w:val="909" w:hRule="atLeast"/>
        </w:trPr>
        <w:tc>
          <w:tcPr>
            <w:tcW w:w="559" w:type="dxa"/>
            <w:tcBorders>
              <w:left w:val="single" w:color="auto" w:sz="4" w:space="0"/>
              <w:bottom w:val="single" w:color="auto" w:sz="4" w:space="0"/>
              <w:right w:val="single" w:color="auto" w:sz="4" w:space="0"/>
            </w:tcBorders>
            <w:vAlign w:val="center"/>
          </w:tcPr>
          <w:p w14:paraId="33AB1EF7">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lang w:eastAsia="zh-Hans"/>
              </w:rPr>
              <w:t>D</w:t>
            </w:r>
            <w:r>
              <w:rPr>
                <w:rFonts w:ascii="Times New Roman" w:hAnsi="Times New Roman" w:eastAsia="PingFang SC Regular" w:cs="Times New Roman"/>
                <w:b/>
                <w:bCs/>
                <w:sz w:val="16"/>
                <w:szCs w:val="16"/>
              </w:rPr>
              <w:t>6</w:t>
            </w:r>
          </w:p>
          <w:p w14:paraId="28254287">
            <w:pPr>
              <w:autoSpaceDE w:val="0"/>
              <w:autoSpaceDN w:val="0"/>
              <w:adjustRightInd w:val="0"/>
              <w:snapToGrid w:val="0"/>
              <w:jc w:val="center"/>
              <w:rPr>
                <w:rFonts w:ascii="Times New Roman" w:hAnsi="Times New Roman" w:eastAsia="PingFang SC Regular" w:cs="Times New Roman"/>
                <w:b/>
                <w:bCs/>
                <w:sz w:val="16"/>
                <w:szCs w:val="16"/>
                <w:lang w:eastAsia="zh-Hans"/>
              </w:rPr>
            </w:pPr>
            <w:r>
              <w:rPr>
                <w:rFonts w:ascii="Times New Roman" w:hAnsi="Times New Roman" w:eastAsia="PingFang SC Regular" w:cs="Times New Roman"/>
                <w:b/>
                <w:bCs/>
                <w:sz w:val="16"/>
                <w:szCs w:val="16"/>
                <w:lang w:eastAsia="zh-Hans"/>
              </w:rPr>
              <w:t>飞行日</w:t>
            </w:r>
          </w:p>
        </w:tc>
        <w:tc>
          <w:tcPr>
            <w:tcW w:w="7918" w:type="dxa"/>
            <w:gridSpan w:val="3"/>
            <w:tcBorders>
              <w:top w:val="single" w:color="auto" w:sz="4" w:space="0"/>
              <w:left w:val="single" w:color="auto" w:sz="4" w:space="0"/>
              <w:bottom w:val="single" w:color="auto" w:sz="4" w:space="0"/>
              <w:right w:val="single" w:color="auto" w:sz="4" w:space="0"/>
            </w:tcBorders>
            <w:vAlign w:val="center"/>
          </w:tcPr>
          <w:p w14:paraId="7A351849">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lang w:eastAsia="zh-Hans"/>
              </w:rPr>
              <w:t>国内</w:t>
            </w:r>
            <w:r>
              <w:rPr>
                <w:rFonts w:hint="eastAsia" w:ascii="pingfang sc" w:hAnsi="pingfang sc" w:eastAsia="pingfang sc" w:cs="pingfang sc"/>
                <w:sz w:val="16"/>
                <w:szCs w:val="16"/>
              </w:rPr>
              <w:t>机场集合</w:t>
            </w:r>
            <w:r>
              <w:rPr>
                <w:rFonts w:hint="eastAsia" w:ascii="pingfang sc" w:hAnsi="pingfang sc" w:eastAsia="pingfang sc" w:cs="pingfang sc"/>
                <w:sz w:val="16"/>
                <w:szCs w:val="16"/>
                <w:lang w:eastAsia="zh-Hans"/>
              </w:rPr>
              <w:t>至</w:t>
            </w:r>
            <w:r>
              <w:rPr>
                <w:rFonts w:hint="eastAsia" w:ascii="pingfang sc" w:hAnsi="pingfang sc" w:eastAsia="pingfang sc" w:cs="pingfang sc"/>
                <w:sz w:val="16"/>
                <w:szCs w:val="16"/>
              </w:rPr>
              <w:t>日内瓦</w:t>
            </w:r>
          </w:p>
          <w:p w14:paraId="1D9754EA">
            <w:pPr>
              <w:autoSpaceDE w:val="0"/>
              <w:autoSpaceDN w:val="0"/>
              <w:adjustRightInd w:val="0"/>
              <w:snapToGrid w:val="0"/>
              <w:jc w:val="center"/>
              <w:rPr>
                <w:rFonts w:ascii="pingfang sc" w:hAnsi="pingfang sc" w:eastAsia="pingfang sc" w:cs="pingfang sc"/>
                <w:sz w:val="16"/>
                <w:szCs w:val="16"/>
                <w:lang w:eastAsia="zh-Hans"/>
              </w:rPr>
            </w:pPr>
            <w:r>
              <w:rPr>
                <w:rFonts w:hint="eastAsia" w:ascii="pingfang sc" w:hAnsi="pingfang sc" w:eastAsia="pingfang sc" w:cs="pingfang sc"/>
                <w:sz w:val="16"/>
                <w:szCs w:val="16"/>
                <w:lang w:eastAsia="zh-Hans"/>
              </w:rPr>
              <w:t>·抵达日内瓦</w:t>
            </w:r>
          </w:p>
          <w:p w14:paraId="548D9236">
            <w:pPr>
              <w:autoSpaceDE w:val="0"/>
              <w:autoSpaceDN w:val="0"/>
              <w:adjustRightInd w:val="0"/>
              <w:snapToGrid w:val="0"/>
              <w:jc w:val="center"/>
              <w:rPr>
                <w:rFonts w:ascii="pingfang sc" w:hAnsi="pingfang sc" w:eastAsia="pingfang sc" w:cs="pingfang sc"/>
                <w:sz w:val="16"/>
                <w:szCs w:val="16"/>
                <w:lang w:eastAsia="zh-Hans"/>
              </w:rPr>
            </w:pPr>
            <w:r>
              <w:rPr>
                <w:rFonts w:hint="eastAsia" w:ascii="pingfang sc" w:hAnsi="pingfang sc" w:eastAsia="pingfang sc" w:cs="pingfang sc"/>
                <w:sz w:val="16"/>
                <w:szCs w:val="16"/>
                <w:lang w:eastAsia="zh-Hans"/>
              </w:rPr>
              <w:t>·入住酒店休息</w:t>
            </w:r>
          </w:p>
        </w:tc>
      </w:tr>
      <w:tr w14:paraId="3D328ADD">
        <w:trPr>
          <w:trHeight w:val="1979" w:hRule="atLeast"/>
        </w:trPr>
        <w:tc>
          <w:tcPr>
            <w:tcW w:w="559" w:type="dxa"/>
            <w:tcBorders>
              <w:top w:val="single" w:color="auto" w:sz="4" w:space="0"/>
              <w:left w:val="single" w:color="auto" w:sz="4" w:space="0"/>
              <w:bottom w:val="single" w:color="auto" w:sz="4" w:space="0"/>
              <w:right w:val="single" w:color="auto" w:sz="4" w:space="0"/>
            </w:tcBorders>
            <w:vAlign w:val="center"/>
          </w:tcPr>
          <w:p w14:paraId="4C360921">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lang w:eastAsia="zh-Hans"/>
              </w:rPr>
              <w:t>D</w:t>
            </w:r>
            <w:r>
              <w:rPr>
                <w:rFonts w:ascii="Times New Roman" w:hAnsi="Times New Roman" w:eastAsia="PingFang SC Regular" w:cs="Times New Roman"/>
                <w:b/>
                <w:bCs/>
                <w:sz w:val="16"/>
                <w:szCs w:val="16"/>
              </w:rPr>
              <w:t>7</w:t>
            </w:r>
          </w:p>
          <w:p w14:paraId="2582CF10">
            <w:pPr>
              <w:autoSpaceDE w:val="0"/>
              <w:autoSpaceDN w:val="0"/>
              <w:adjustRightInd w:val="0"/>
              <w:snapToGrid w:val="0"/>
              <w:jc w:val="center"/>
              <w:rPr>
                <w:rFonts w:ascii="Times New Roman" w:hAnsi="Times New Roman" w:eastAsia="PingFang SC Regular" w:cs="Times New Roman"/>
                <w:b/>
                <w:bCs/>
                <w:sz w:val="16"/>
                <w:szCs w:val="16"/>
                <w:lang w:eastAsia="zh-Hans"/>
              </w:rPr>
            </w:pPr>
            <w:r>
              <w:rPr>
                <w:rFonts w:ascii="Times New Roman" w:hAnsi="Times New Roman" w:eastAsia="PingFang SC Regular" w:cs="Times New Roman"/>
                <w:b/>
                <w:bCs/>
                <w:sz w:val="16"/>
                <w:szCs w:val="16"/>
                <w:lang w:eastAsia="zh-Hans"/>
              </w:rPr>
              <w:t>团队建设</w:t>
            </w:r>
          </w:p>
        </w:tc>
        <w:tc>
          <w:tcPr>
            <w:tcW w:w="3244" w:type="dxa"/>
            <w:tcBorders>
              <w:top w:val="single" w:color="auto" w:sz="4" w:space="0"/>
              <w:left w:val="single" w:color="auto" w:sz="4" w:space="0"/>
              <w:bottom w:val="single" w:color="auto" w:sz="4" w:space="0"/>
              <w:right w:val="single" w:color="auto" w:sz="4" w:space="0"/>
            </w:tcBorders>
            <w:vAlign w:val="center"/>
          </w:tcPr>
          <w:p w14:paraId="6808035B">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项目启动会</w:t>
            </w:r>
          </w:p>
          <w:p w14:paraId="738522A0">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 xml:space="preserve"> ·队员分组</w:t>
            </w:r>
          </w:p>
          <w:p w14:paraId="579077B2">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调研参访 | “万国宫”广场&amp;断椅雕塑</w:t>
            </w:r>
          </w:p>
          <w:p w14:paraId="17B7E3CA">
            <w:pPr>
              <w:autoSpaceDE w:val="0"/>
              <w:autoSpaceDN w:val="0"/>
              <w:adjustRightInd w:val="0"/>
              <w:snapToGrid w:val="0"/>
              <w:jc w:val="center"/>
              <w:rPr>
                <w:rFonts w:ascii="pingfang sc" w:hAnsi="pingfang sc" w:eastAsia="pingfang sc" w:cs="pingfang sc"/>
                <w:sz w:val="16"/>
                <w:szCs w:val="16"/>
                <w:lang w:eastAsia="zh-Hans"/>
              </w:rPr>
            </w:pPr>
            <w:r>
              <w:rPr>
                <w:rFonts w:hint="eastAsia" w:ascii="pingfang sc" w:hAnsi="pingfang sc" w:eastAsia="pingfang sc" w:cs="pingfang sc"/>
                <w:sz w:val="16"/>
                <w:szCs w:val="16"/>
              </w:rPr>
              <w:t>·联合国万国宫广场&amp;断椅雕塑</w:t>
            </w:r>
            <w:r>
              <w:rPr>
                <w:rFonts w:ascii="pingfang sc" w:hAnsi="pingfang sc" w:eastAsia="pingfang sc" w:cs="pingfang sc"/>
                <w:sz w:val="16"/>
                <w:szCs w:val="16"/>
              </w:rPr>
              <w:t>，</w:t>
            </w:r>
            <w:r>
              <w:rPr>
                <w:rFonts w:hint="eastAsia" w:ascii="pingfang sc" w:hAnsi="pingfang sc" w:eastAsia="pingfang sc" w:cs="pingfang sc"/>
                <w:sz w:val="16"/>
                <w:szCs w:val="16"/>
              </w:rPr>
              <w:t>象征着渥太华条约——“铭记地雷受害者的困境，并鼓励各国承诺禁止集束弹药”</w:t>
            </w:r>
          </w:p>
        </w:tc>
        <w:tc>
          <w:tcPr>
            <w:tcW w:w="2757" w:type="dxa"/>
            <w:tcBorders>
              <w:top w:val="single" w:color="auto" w:sz="4" w:space="0"/>
              <w:left w:val="single" w:color="auto" w:sz="4" w:space="0"/>
              <w:bottom w:val="single" w:color="auto" w:sz="4" w:space="0"/>
              <w:right w:val="single" w:color="auto" w:sz="4" w:space="0"/>
            </w:tcBorders>
            <w:vAlign w:val="center"/>
          </w:tcPr>
          <w:p w14:paraId="63D8598D">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调研参访 | 日内瓦老城区</w:t>
            </w:r>
          </w:p>
          <w:p w14:paraId="7EE4749C">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·探访日内瓦老城区</w:t>
            </w:r>
          </w:p>
          <w:p w14:paraId="0DD5EB99">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·日内瓦湖</w:t>
            </w:r>
          </w:p>
          <w:p w14:paraId="5BAF2497">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·花钟</w:t>
            </w:r>
          </w:p>
          <w:p w14:paraId="6B600574">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·圣彼埃尔大教堂</w:t>
            </w:r>
          </w:p>
          <w:p w14:paraId="3F4C9C85">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·堡垒公园&amp;宗教改革墙</w:t>
            </w:r>
          </w:p>
          <w:p w14:paraId="724B3A2D">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·调研参访日内瓦大学等</w:t>
            </w:r>
          </w:p>
        </w:tc>
        <w:tc>
          <w:tcPr>
            <w:tcW w:w="1917" w:type="dxa"/>
            <w:tcBorders>
              <w:top w:val="single" w:color="auto" w:sz="4" w:space="0"/>
              <w:left w:val="single" w:color="auto" w:sz="4" w:space="0"/>
              <w:bottom w:val="single" w:color="auto" w:sz="4" w:space="0"/>
              <w:right w:val="single" w:color="auto" w:sz="4" w:space="0"/>
            </w:tcBorders>
            <w:vAlign w:val="center"/>
          </w:tcPr>
          <w:p w14:paraId="6AFE2ACA">
            <w:pPr>
              <w:autoSpaceDE w:val="0"/>
              <w:autoSpaceDN w:val="0"/>
              <w:adjustRightInd w:val="0"/>
              <w:snapToGrid w:val="0"/>
              <w:jc w:val="center"/>
              <w:rPr>
                <w:rFonts w:ascii="pingfang sc" w:hAnsi="pingfang sc" w:eastAsia="pingfang sc" w:cs="pingfang sc"/>
                <w:b/>
                <w:bCs/>
                <w:sz w:val="16"/>
                <w:szCs w:val="16"/>
              </w:rPr>
            </w:pPr>
            <w:r>
              <w:rPr>
                <w:rFonts w:hint="eastAsia" w:ascii="pingfang sc" w:hAnsi="pingfang sc" w:eastAsia="pingfang sc" w:cs="pingfang sc"/>
                <w:b/>
                <w:bCs/>
                <w:sz w:val="16"/>
                <w:szCs w:val="16"/>
              </w:rPr>
              <w:t>欢迎晚餐</w:t>
            </w:r>
          </w:p>
          <w:p w14:paraId="5400E3E3">
            <w:pPr>
              <w:autoSpaceDE w:val="0"/>
              <w:autoSpaceDN w:val="0"/>
              <w:adjustRightInd w:val="0"/>
              <w:snapToGrid w:val="0"/>
              <w:jc w:val="center"/>
              <w:rPr>
                <w:rFonts w:ascii="pingfang sc" w:hAnsi="pingfang sc" w:eastAsia="pingfang sc" w:cs="pingfang sc"/>
                <w:b/>
                <w:bCs/>
                <w:sz w:val="16"/>
                <w:szCs w:val="16"/>
              </w:rPr>
            </w:pPr>
            <w:r>
              <w:rPr>
                <w:rFonts w:hint="eastAsia" w:ascii="pingfang sc" w:hAnsi="pingfang sc" w:eastAsia="pingfang sc" w:cs="pingfang sc"/>
                <w:sz w:val="16"/>
                <w:szCs w:val="16"/>
                <w:lang w:eastAsia="zh-Hans"/>
              </w:rPr>
              <w:t>·</w:t>
            </w:r>
            <w:r>
              <w:rPr>
                <w:rFonts w:hint="eastAsia" w:ascii="pingfang sc" w:hAnsi="pingfang sc" w:eastAsia="pingfang sc" w:cs="pingfang sc"/>
                <w:sz w:val="16"/>
                <w:szCs w:val="16"/>
              </w:rPr>
              <w:t>统一就餐逐步适应当地饮食与生活节奏</w:t>
            </w:r>
          </w:p>
          <w:p w14:paraId="2386FDD0">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lang w:eastAsia="zh-Hans"/>
              </w:rPr>
              <w:t>·</w:t>
            </w:r>
            <w:r>
              <w:rPr>
                <w:rFonts w:hint="eastAsia" w:ascii="pingfang sc" w:hAnsi="pingfang sc" w:eastAsia="pingfang sc" w:cs="pingfang sc"/>
                <w:sz w:val="16"/>
                <w:szCs w:val="16"/>
              </w:rPr>
              <w:t>破冰游戏建立团队</w:t>
            </w:r>
          </w:p>
        </w:tc>
      </w:tr>
      <w:tr w14:paraId="0FFF0101">
        <w:trPr>
          <w:trHeight w:val="90" w:hRule="atLeast"/>
        </w:trPr>
        <w:tc>
          <w:tcPr>
            <w:tcW w:w="559" w:type="dxa"/>
            <w:tcBorders>
              <w:top w:val="single" w:color="auto" w:sz="4" w:space="0"/>
              <w:left w:val="single" w:color="auto" w:sz="4" w:space="0"/>
              <w:bottom w:val="single" w:color="auto" w:sz="4" w:space="0"/>
              <w:right w:val="single" w:color="auto" w:sz="4" w:space="0"/>
            </w:tcBorders>
            <w:vAlign w:val="center"/>
          </w:tcPr>
          <w:p w14:paraId="15449757">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lang w:eastAsia="zh-Hans"/>
              </w:rPr>
              <w:t>D</w:t>
            </w:r>
            <w:r>
              <w:rPr>
                <w:rFonts w:ascii="Times New Roman" w:hAnsi="Times New Roman" w:eastAsia="PingFang SC Regular" w:cs="Times New Roman"/>
                <w:b/>
                <w:bCs/>
                <w:sz w:val="16"/>
                <w:szCs w:val="16"/>
              </w:rPr>
              <w:t>8</w:t>
            </w:r>
          </w:p>
          <w:p w14:paraId="34A36041">
            <w:pPr>
              <w:autoSpaceDE w:val="0"/>
              <w:autoSpaceDN w:val="0"/>
              <w:adjustRightInd w:val="0"/>
              <w:snapToGrid w:val="0"/>
              <w:jc w:val="center"/>
              <w:rPr>
                <w:rFonts w:ascii="Times New Roman" w:hAnsi="Times New Roman" w:eastAsia="PingFang SC Regular" w:cs="Times New Roman"/>
                <w:b/>
                <w:bCs/>
                <w:sz w:val="16"/>
                <w:szCs w:val="16"/>
                <w:lang w:eastAsia="zh-Hans"/>
              </w:rPr>
            </w:pPr>
            <w:r>
              <w:rPr>
                <w:rFonts w:ascii="Times New Roman" w:hAnsi="Times New Roman" w:eastAsia="PingFang SC Regular" w:cs="Times New Roman"/>
                <w:b/>
                <w:bCs/>
                <w:sz w:val="16"/>
                <w:szCs w:val="16"/>
                <w:lang w:eastAsia="zh-Hans"/>
              </w:rPr>
              <w:t>多边主义与外交</w:t>
            </w:r>
          </w:p>
        </w:tc>
        <w:tc>
          <w:tcPr>
            <w:tcW w:w="3244" w:type="dxa"/>
            <w:tcBorders>
              <w:top w:val="single" w:color="auto" w:sz="4" w:space="0"/>
              <w:left w:val="single" w:color="auto" w:sz="4" w:space="0"/>
              <w:bottom w:val="single" w:color="auto" w:sz="4" w:space="0"/>
              <w:right w:val="single" w:color="auto" w:sz="4" w:space="0"/>
            </w:tcBorders>
            <w:vAlign w:val="center"/>
          </w:tcPr>
          <w:p w14:paraId="6C5E7BD3">
            <w:pPr>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证件办理 | 办理个人联合国访问证件</w:t>
            </w:r>
          </w:p>
          <w:p w14:paraId="23E84AFD">
            <w:pPr>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 xml:space="preserve">在联合国安保部办理证件并接受安检进入联合国 </w:t>
            </w:r>
          </w:p>
          <w:p w14:paraId="38FC9506">
            <w:pPr>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欢迎仪式 | 项目资料发放</w:t>
            </w:r>
          </w:p>
          <w:p w14:paraId="41F8A8E0">
            <w:pPr>
              <w:adjustRightInd w:val="0"/>
              <w:snapToGrid w:val="0"/>
              <w:jc w:val="center"/>
              <w:rPr>
                <w:rFonts w:ascii="PingFang SC Semibold" w:hAnsi="PingFang SC Semibold" w:eastAsia="PingFang SC Semibold" w:cs="PingFang SC Semibold"/>
                <w:sz w:val="16"/>
                <w:szCs w:val="16"/>
              </w:rPr>
            </w:pPr>
            <w:r>
              <w:rPr>
                <w:rFonts w:hint="eastAsia" w:ascii="PingFang SC Semibold" w:hAnsi="PingFang SC Semibold" w:eastAsia="PingFang SC Semibold" w:cs="PingFang SC Semibold"/>
                <w:sz w:val="16"/>
                <w:szCs w:val="16"/>
              </w:rPr>
              <w:t>国际组织讲解项目宗旨愿景以及相关安排</w:t>
            </w:r>
          </w:p>
          <w:p w14:paraId="24E25F23">
            <w:pPr>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互动培训 | 联合国组织架构及职能介绍</w:t>
            </w:r>
          </w:p>
          <w:p w14:paraId="3F88CC1E">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了解联合国及相关机构</w:t>
            </w:r>
          </w:p>
          <w:p w14:paraId="23B93E9A">
            <w:pPr>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·了解各机构的协作与相互关系</w:t>
            </w:r>
          </w:p>
          <w:p w14:paraId="36862C54">
            <w:pPr>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·学习联合国可持续发展目标</w:t>
            </w:r>
          </w:p>
          <w:p w14:paraId="26072A2F">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i/>
                <w:iCs/>
                <w:sz w:val="16"/>
                <w:szCs w:val="16"/>
              </w:rPr>
              <w:t>－国际组织现任官员</w:t>
            </w:r>
          </w:p>
        </w:tc>
        <w:tc>
          <w:tcPr>
            <w:tcW w:w="2757" w:type="dxa"/>
            <w:tcBorders>
              <w:top w:val="single" w:color="auto" w:sz="4" w:space="0"/>
              <w:left w:val="single" w:color="auto" w:sz="4" w:space="0"/>
              <w:bottom w:val="single" w:color="auto" w:sz="4" w:space="0"/>
              <w:right w:val="single" w:color="auto" w:sz="4" w:space="0"/>
            </w:tcBorders>
            <w:vAlign w:val="center"/>
          </w:tcPr>
          <w:p w14:paraId="0DDF7457">
            <w:pPr>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调研参访 | 联合国欧洲总部“万国宫”</w:t>
            </w:r>
          </w:p>
          <w:p w14:paraId="204188FE">
            <w:pPr>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大会堂、理事会会议厅、人权和不同文明联盟会议室等</w:t>
            </w:r>
          </w:p>
          <w:p w14:paraId="5EF9E8EB">
            <w:pPr>
              <w:adjustRightInd w:val="0"/>
              <w:snapToGrid w:val="0"/>
              <w:jc w:val="center"/>
              <w:rPr>
                <w:rFonts w:ascii="PingFang SC Semibold" w:hAnsi="PingFang SC Semibold" w:eastAsia="PingFang SC Semibold" w:cs="PingFang SC Semibold"/>
                <w:b/>
                <w:bCs/>
                <w:sz w:val="16"/>
                <w:szCs w:val="16"/>
              </w:rPr>
            </w:pPr>
            <w:r>
              <w:rPr>
                <w:rFonts w:hint="eastAsia" w:ascii="pingfang sc" w:hAnsi="pingfang sc" w:eastAsia="pingfang sc" w:cs="pingfang sc"/>
                <w:i/>
                <w:iCs/>
                <w:sz w:val="16"/>
                <w:szCs w:val="16"/>
              </w:rPr>
              <w:t>－联合国访客事务部工作人员</w:t>
            </w:r>
          </w:p>
          <w:p w14:paraId="3E525C3C">
            <w:pPr>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互动培训 | 多边外交主义</w:t>
            </w:r>
          </w:p>
          <w:p w14:paraId="428860E8">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多边外交的历史与当代外交进程、全球治理实践与变革。</w:t>
            </w:r>
          </w:p>
          <w:p w14:paraId="36EEEC29">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i/>
                <w:iCs/>
                <w:sz w:val="16"/>
                <w:szCs w:val="16"/>
              </w:rPr>
              <w:t>－国际组织现任官员</w:t>
            </w:r>
          </w:p>
        </w:tc>
        <w:tc>
          <w:tcPr>
            <w:tcW w:w="1917" w:type="dxa"/>
            <w:tcBorders>
              <w:top w:val="single" w:color="auto" w:sz="4" w:space="0"/>
              <w:left w:val="single" w:color="auto" w:sz="4" w:space="0"/>
              <w:bottom w:val="single" w:color="auto" w:sz="4" w:space="0"/>
              <w:right w:val="single" w:color="auto" w:sz="4" w:space="0"/>
            </w:tcBorders>
            <w:vAlign w:val="center"/>
          </w:tcPr>
          <w:p w14:paraId="70FA26FA">
            <w:pPr>
              <w:autoSpaceDE w:val="0"/>
              <w:autoSpaceDN w:val="0"/>
              <w:adjustRightInd w:val="0"/>
              <w:snapToGrid w:val="0"/>
              <w:jc w:val="center"/>
              <w:rPr>
                <w:rFonts w:ascii="pingfang sc" w:hAnsi="pingfang sc" w:eastAsia="pingfang sc" w:cs="pingfang sc"/>
                <w:b/>
                <w:bCs/>
                <w:sz w:val="16"/>
                <w:szCs w:val="16"/>
              </w:rPr>
            </w:pPr>
            <w:r>
              <w:rPr>
                <w:rFonts w:hint="eastAsia" w:ascii="pingfang sc" w:hAnsi="pingfang sc" w:eastAsia="pingfang sc" w:cs="pingfang sc"/>
                <w:b/>
                <w:bCs/>
                <w:sz w:val="16"/>
                <w:szCs w:val="16"/>
              </w:rPr>
              <w:t>小组任务</w:t>
            </w:r>
            <w:r>
              <w:rPr>
                <w:rFonts w:hint="eastAsia" w:ascii="pingfang sc" w:hAnsi="pingfang sc" w:eastAsia="pingfang sc" w:cs="pingfang sc"/>
                <w:sz w:val="16"/>
                <w:szCs w:val="16"/>
              </w:rPr>
              <w:t xml:space="preserve"> | </w:t>
            </w:r>
            <w:r>
              <w:rPr>
                <w:rFonts w:hint="eastAsia" w:ascii="pingfang sc" w:hAnsi="pingfang sc" w:eastAsia="pingfang sc" w:cs="pingfang sc"/>
                <w:b/>
                <w:bCs/>
                <w:sz w:val="16"/>
                <w:szCs w:val="16"/>
              </w:rPr>
              <w:t>结业演讲、模拟磋商准备</w:t>
            </w:r>
          </w:p>
          <w:p w14:paraId="55C72728">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小组讨论、头脑风暴</w:t>
            </w:r>
          </w:p>
          <w:p w14:paraId="4F1611DA">
            <w:pPr>
              <w:autoSpaceDE w:val="0"/>
              <w:autoSpaceDN w:val="0"/>
              <w:adjustRightInd w:val="0"/>
              <w:snapToGrid w:val="0"/>
              <w:jc w:val="center"/>
              <w:rPr>
                <w:rFonts w:ascii="pingfang sc" w:hAnsi="pingfang sc" w:eastAsia="pingfang sc" w:cs="pingfang sc"/>
                <w:i/>
                <w:iCs/>
                <w:sz w:val="16"/>
                <w:szCs w:val="16"/>
              </w:rPr>
            </w:pPr>
            <w:r>
              <w:rPr>
                <w:rFonts w:hint="eastAsia" w:ascii="pingfang sc" w:hAnsi="pingfang sc" w:eastAsia="pingfang sc" w:cs="pingfang sc"/>
                <w:sz w:val="16"/>
                <w:szCs w:val="16"/>
              </w:rPr>
              <w:t>·对应分配国家角色进行资料调研、查阅、梳理等</w:t>
            </w:r>
          </w:p>
        </w:tc>
      </w:tr>
      <w:tr w14:paraId="1CBDE039">
        <w:trPr>
          <w:trHeight w:val="3047" w:hRule="atLeast"/>
        </w:trPr>
        <w:tc>
          <w:tcPr>
            <w:tcW w:w="559" w:type="dxa"/>
            <w:tcBorders>
              <w:top w:val="single" w:color="auto" w:sz="4" w:space="0"/>
              <w:left w:val="single" w:color="auto" w:sz="4" w:space="0"/>
              <w:bottom w:val="single" w:color="auto" w:sz="4" w:space="0"/>
              <w:right w:val="single" w:color="auto" w:sz="4" w:space="0"/>
            </w:tcBorders>
            <w:vAlign w:val="center"/>
          </w:tcPr>
          <w:p w14:paraId="145C6E9D">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lang w:eastAsia="zh-Hans"/>
              </w:rPr>
              <w:t>D</w:t>
            </w:r>
            <w:r>
              <w:rPr>
                <w:rFonts w:ascii="Times New Roman" w:hAnsi="Times New Roman" w:eastAsia="PingFang SC Regular" w:cs="Times New Roman"/>
                <w:b/>
                <w:bCs/>
                <w:sz w:val="16"/>
                <w:szCs w:val="16"/>
              </w:rPr>
              <w:t>9</w:t>
            </w:r>
          </w:p>
          <w:p w14:paraId="33BF1776">
            <w:pPr>
              <w:autoSpaceDE w:val="0"/>
              <w:autoSpaceDN w:val="0"/>
              <w:adjustRightInd w:val="0"/>
              <w:snapToGrid w:val="0"/>
              <w:jc w:val="center"/>
              <w:rPr>
                <w:rFonts w:ascii="Times New Roman" w:hAnsi="Times New Roman" w:eastAsia="PingFang SC Regular" w:cs="Times New Roman"/>
                <w:b/>
                <w:bCs/>
                <w:sz w:val="18"/>
                <w:szCs w:val="18"/>
                <w:lang w:eastAsia="zh-Hans"/>
              </w:rPr>
            </w:pPr>
            <w:r>
              <w:rPr>
                <w:rFonts w:ascii="Times New Roman" w:hAnsi="Times New Roman" w:eastAsia="PingFang SC Regular" w:cs="Times New Roman"/>
                <w:b/>
                <w:bCs/>
                <w:sz w:val="16"/>
                <w:szCs w:val="16"/>
                <w:lang w:eastAsia="zh-Hans"/>
              </w:rPr>
              <w:t>公共卫生安全</w:t>
            </w:r>
          </w:p>
        </w:tc>
        <w:tc>
          <w:tcPr>
            <w:tcW w:w="3244" w:type="dxa"/>
            <w:tcBorders>
              <w:top w:val="single" w:color="auto" w:sz="4" w:space="0"/>
              <w:left w:val="single" w:color="auto" w:sz="4" w:space="0"/>
              <w:bottom w:val="single" w:color="auto" w:sz="4" w:space="0"/>
              <w:right w:val="single" w:color="auto" w:sz="4" w:space="0"/>
            </w:tcBorders>
            <w:vAlign w:val="center"/>
          </w:tcPr>
          <w:p w14:paraId="6CBC366F">
            <w:pPr>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互动培训 | 联合国可持续发展目标</w:t>
            </w:r>
          </w:p>
          <w:p w14:paraId="547E120A">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 xml:space="preserve"> 联合国可持续发展目标专项学习</w:t>
            </w:r>
          </w:p>
          <w:p w14:paraId="55A034B7">
            <w:pPr>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·探讨在新的世界秩序中，国际公共卫生领域相关的学科如何推动可持续发展目标不断实现；</w:t>
            </w:r>
          </w:p>
          <w:p w14:paraId="16EBA714">
            <w:pPr>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·学习环境、社会责任和公司治理（ESG）体系</w:t>
            </w:r>
          </w:p>
          <w:p w14:paraId="27FCF849">
            <w:pPr>
              <w:adjustRightInd w:val="0"/>
              <w:snapToGrid w:val="0"/>
              <w:jc w:val="center"/>
              <w:rPr>
                <w:rFonts w:ascii="pingfang sc" w:hAnsi="pingfang sc" w:eastAsia="pingfang sc" w:cs="pingfang sc"/>
                <w:sz w:val="16"/>
                <w:szCs w:val="16"/>
              </w:rPr>
            </w:pPr>
            <w:r>
              <w:rPr>
                <w:rFonts w:hint="eastAsia" w:ascii="pingfang sc" w:hAnsi="pingfang sc" w:eastAsia="pingfang sc" w:cs="pingfang sc"/>
                <w:i/>
                <w:iCs/>
                <w:sz w:val="16"/>
                <w:szCs w:val="16"/>
              </w:rPr>
              <w:t>－国际组织现任官员</w:t>
            </w:r>
          </w:p>
          <w:p w14:paraId="0CF63248">
            <w:pPr>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外交参访 | 世界卫生组织</w:t>
            </w:r>
          </w:p>
          <w:p w14:paraId="4CD5B4B5">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COVID-19后疫情时期WHO的发展趋势，如何建立更好的世界卫生体系</w:t>
            </w:r>
          </w:p>
          <w:p w14:paraId="3EA670AE">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如何在全球范围内持续监测卫生状况，评估健康趋势</w:t>
            </w:r>
          </w:p>
          <w:p w14:paraId="60390508">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i/>
                <w:iCs/>
                <w:sz w:val="16"/>
                <w:szCs w:val="16"/>
              </w:rPr>
              <w:t>－世卫组织现任官员</w:t>
            </w:r>
          </w:p>
        </w:tc>
        <w:tc>
          <w:tcPr>
            <w:tcW w:w="2757" w:type="dxa"/>
            <w:tcBorders>
              <w:top w:val="single" w:color="auto" w:sz="4" w:space="0"/>
              <w:left w:val="single" w:color="auto" w:sz="4" w:space="0"/>
              <w:bottom w:val="single" w:color="auto" w:sz="4" w:space="0"/>
              <w:right w:val="single" w:color="auto" w:sz="4" w:space="0"/>
            </w:tcBorders>
            <w:vAlign w:val="center"/>
          </w:tcPr>
          <w:p w14:paraId="74879689">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lang w:eastAsia="zh-Hans"/>
              </w:rPr>
              <w:t>互动培训</w:t>
            </w:r>
            <w:r>
              <w:rPr>
                <w:rFonts w:hint="eastAsia" w:ascii="PingFang SC Semibold" w:hAnsi="PingFang SC Semibold" w:eastAsia="PingFang SC Semibold" w:cs="PingFang SC Semibold"/>
                <w:b/>
                <w:bCs/>
                <w:sz w:val="16"/>
                <w:szCs w:val="16"/>
              </w:rPr>
              <w:t xml:space="preserve"> | 红十字与红新月国际联合会</w:t>
            </w:r>
          </w:p>
          <w:p w14:paraId="2163B0C9">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·了解该机构历史、宗旨、原则等</w:t>
            </w:r>
          </w:p>
          <w:p w14:paraId="372C0F4F">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·结合自身专业探讨如何赋能机构未来的发展和进一步推动人道主义事业的发展等方面。</w:t>
            </w:r>
          </w:p>
          <w:p w14:paraId="231C1E06">
            <w:pPr>
              <w:autoSpaceDE w:val="0"/>
              <w:autoSpaceDN w:val="0"/>
              <w:adjustRightInd w:val="0"/>
              <w:snapToGrid w:val="0"/>
              <w:jc w:val="center"/>
              <w:rPr>
                <w:rFonts w:ascii="PingFang SC Semibold" w:hAnsi="PingFang SC Semibold" w:eastAsia="PingFang SC Semibold" w:cs="PingFang SC Semibold"/>
                <w:b/>
                <w:bCs/>
                <w:sz w:val="16"/>
                <w:szCs w:val="16"/>
              </w:rPr>
            </w:pPr>
            <w:r>
              <w:rPr>
                <w:rFonts w:ascii="pingfang sc" w:hAnsi="pingfang sc" w:eastAsia="pingfang sc" w:cs="pingfang sc"/>
                <w:i/>
                <w:iCs/>
                <w:sz w:val="16"/>
                <w:szCs w:val="16"/>
              </w:rPr>
              <w:t>·</w:t>
            </w:r>
            <w:r>
              <w:rPr>
                <w:rFonts w:hint="eastAsia" w:ascii="pingfang sc" w:hAnsi="pingfang sc" w:eastAsia="pingfang sc" w:cs="pingfang sc"/>
                <w:i/>
                <w:iCs/>
                <w:sz w:val="16"/>
                <w:szCs w:val="16"/>
              </w:rPr>
              <w:t>-红十字与红新月国际联合会现任官员</w:t>
            </w:r>
          </w:p>
        </w:tc>
        <w:tc>
          <w:tcPr>
            <w:tcW w:w="1917" w:type="dxa"/>
            <w:tcBorders>
              <w:top w:val="single" w:color="auto" w:sz="4" w:space="0"/>
              <w:left w:val="single" w:color="auto" w:sz="4" w:space="0"/>
              <w:bottom w:val="single" w:color="auto" w:sz="4" w:space="0"/>
              <w:right w:val="single" w:color="auto" w:sz="4" w:space="0"/>
            </w:tcBorders>
            <w:vAlign w:val="center"/>
          </w:tcPr>
          <w:p w14:paraId="6F4B1D9F">
            <w:pPr>
              <w:autoSpaceDE w:val="0"/>
              <w:autoSpaceDN w:val="0"/>
              <w:adjustRightInd w:val="0"/>
              <w:snapToGrid w:val="0"/>
              <w:jc w:val="center"/>
              <w:rPr>
                <w:rFonts w:ascii="pingfang sc" w:hAnsi="pingfang sc" w:eastAsia="pingfang sc" w:cs="pingfang sc"/>
                <w:b/>
                <w:bCs/>
                <w:sz w:val="16"/>
                <w:szCs w:val="16"/>
              </w:rPr>
            </w:pPr>
            <w:r>
              <w:rPr>
                <w:rFonts w:hint="eastAsia" w:ascii="pingfang sc" w:hAnsi="pingfang sc" w:eastAsia="pingfang sc" w:cs="pingfang sc"/>
                <w:b/>
                <w:bCs/>
                <w:sz w:val="16"/>
                <w:szCs w:val="16"/>
              </w:rPr>
              <w:t>特色晚餐</w:t>
            </w:r>
          </w:p>
          <w:p w14:paraId="2A9B8AD7">
            <w:pPr>
              <w:autoSpaceDE w:val="0"/>
              <w:autoSpaceDN w:val="0"/>
              <w:adjustRightInd w:val="0"/>
              <w:snapToGrid w:val="0"/>
              <w:jc w:val="center"/>
              <w:rPr>
                <w:rFonts w:ascii="pingfang sc" w:hAnsi="pingfang sc" w:eastAsia="pingfang sc" w:cs="pingfang sc"/>
                <w:b/>
                <w:bCs/>
                <w:sz w:val="16"/>
                <w:szCs w:val="16"/>
              </w:rPr>
            </w:pPr>
            <w:r>
              <w:rPr>
                <w:rFonts w:hint="eastAsia" w:ascii="pingfang sc" w:hAnsi="pingfang sc" w:eastAsia="pingfang sc" w:cs="pingfang sc"/>
                <w:sz w:val="16"/>
                <w:szCs w:val="16"/>
                <w:lang w:eastAsia="zh-Hans"/>
              </w:rPr>
              <w:t>·</w:t>
            </w:r>
            <w:r>
              <w:rPr>
                <w:rFonts w:hint="eastAsia" w:ascii="pingfang sc" w:hAnsi="pingfang sc" w:eastAsia="pingfang sc" w:cs="pingfang sc"/>
                <w:sz w:val="16"/>
                <w:szCs w:val="16"/>
              </w:rPr>
              <w:t>当地特色风味餐厅融入当地生活</w:t>
            </w:r>
          </w:p>
          <w:p w14:paraId="7D69E72C">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lang w:eastAsia="zh-Hans"/>
              </w:rPr>
              <w:t>·</w:t>
            </w:r>
            <w:r>
              <w:rPr>
                <w:rFonts w:hint="eastAsia" w:ascii="pingfang sc" w:hAnsi="pingfang sc" w:eastAsia="pingfang sc" w:cs="pingfang sc"/>
                <w:sz w:val="16"/>
                <w:szCs w:val="16"/>
              </w:rPr>
              <w:t>团队氛围进一步升级</w:t>
            </w:r>
          </w:p>
        </w:tc>
      </w:tr>
      <w:tr w14:paraId="7A0438E5">
        <w:trPr>
          <w:trHeight w:val="3828" w:hRule="atLeast"/>
        </w:trPr>
        <w:tc>
          <w:tcPr>
            <w:tcW w:w="559" w:type="dxa"/>
            <w:tcBorders>
              <w:top w:val="single" w:color="auto" w:sz="4" w:space="0"/>
              <w:left w:val="single" w:color="auto" w:sz="4" w:space="0"/>
              <w:bottom w:val="single" w:color="auto" w:sz="4" w:space="0"/>
              <w:right w:val="single" w:color="auto" w:sz="4" w:space="0"/>
            </w:tcBorders>
            <w:vAlign w:val="center"/>
          </w:tcPr>
          <w:p w14:paraId="236BA07A">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lang w:eastAsia="zh-Hans"/>
              </w:rPr>
              <w:t>D</w:t>
            </w:r>
            <w:r>
              <w:rPr>
                <w:rFonts w:ascii="Times New Roman" w:hAnsi="Times New Roman" w:eastAsia="PingFang SC Regular" w:cs="Times New Roman"/>
                <w:b/>
                <w:bCs/>
                <w:sz w:val="16"/>
                <w:szCs w:val="16"/>
              </w:rPr>
              <w:t>10</w:t>
            </w:r>
          </w:p>
          <w:p w14:paraId="6B074A4E">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rPr>
              <w:t>弱势群体健康和保护</w:t>
            </w:r>
          </w:p>
        </w:tc>
        <w:tc>
          <w:tcPr>
            <w:tcW w:w="3244" w:type="dxa"/>
            <w:tcBorders>
              <w:top w:val="single" w:color="auto" w:sz="4" w:space="0"/>
              <w:left w:val="single" w:color="auto" w:sz="4" w:space="0"/>
              <w:bottom w:val="single" w:color="auto" w:sz="4" w:space="0"/>
              <w:right w:val="single" w:color="auto" w:sz="4" w:space="0"/>
            </w:tcBorders>
            <w:vAlign w:val="center"/>
          </w:tcPr>
          <w:p w14:paraId="25260DC5">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外交参访 | 联合国难民署</w:t>
            </w:r>
          </w:p>
          <w:p w14:paraId="1C80A962">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·了解联合国难民署的总体使命、工作范围和全球影响力</w:t>
            </w:r>
          </w:p>
          <w:p w14:paraId="59EABB0F">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·与难民署的官员进行交流，深入探讨难民群体中关于公共卫生领域制定和执行</w:t>
            </w:r>
          </w:p>
          <w:p w14:paraId="6E4ED504">
            <w:pPr>
              <w:autoSpaceDE w:val="0"/>
              <w:autoSpaceDN w:val="0"/>
              <w:adjustRightInd w:val="0"/>
              <w:snapToGrid w:val="0"/>
              <w:jc w:val="center"/>
              <w:rPr>
                <w:rFonts w:ascii="pingfang sc" w:hAnsi="pingfang sc" w:eastAsia="pingfang sc" w:cs="pingfang sc"/>
                <w:i/>
                <w:iCs/>
                <w:sz w:val="16"/>
                <w:szCs w:val="16"/>
              </w:rPr>
            </w:pPr>
            <w:r>
              <w:rPr>
                <w:rFonts w:ascii="pingfang sc" w:hAnsi="pingfang sc" w:eastAsia="pingfang sc" w:cs="pingfang sc"/>
                <w:i/>
                <w:iCs/>
                <w:sz w:val="16"/>
                <w:szCs w:val="16"/>
              </w:rPr>
              <w:t>·</w:t>
            </w:r>
            <w:r>
              <w:rPr>
                <w:rFonts w:hint="eastAsia" w:ascii="pingfang sc" w:hAnsi="pingfang sc" w:eastAsia="pingfang sc" w:cs="pingfang sc"/>
                <w:i/>
                <w:iCs/>
                <w:sz w:val="16"/>
                <w:szCs w:val="16"/>
              </w:rPr>
              <w:t>-联合国难民署现任官员</w:t>
            </w:r>
          </w:p>
          <w:p w14:paraId="42AA6D01">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互动培训 | 联合国儿童基金会</w:t>
            </w:r>
          </w:p>
          <w:p w14:paraId="2BF09C41">
            <w:pPr>
              <w:widowControl/>
              <w:jc w:val="center"/>
              <w:rPr>
                <w:rFonts w:ascii="pingfang sc" w:hAnsi="pingfang sc" w:eastAsia="pingfang sc" w:cs="pingfang sc"/>
                <w:sz w:val="16"/>
                <w:szCs w:val="16"/>
              </w:rPr>
            </w:pPr>
            <w:r>
              <w:rPr>
                <w:rFonts w:hint="eastAsia" w:ascii="pingfang sc" w:hAnsi="pingfang sc" w:eastAsia="pingfang sc" w:cs="pingfang sc"/>
                <w:i/>
                <w:iCs/>
                <w:sz w:val="16"/>
                <w:szCs w:val="16"/>
              </w:rPr>
              <w:t>·</w:t>
            </w:r>
            <w:r>
              <w:rPr>
                <w:rFonts w:hint="eastAsia" w:ascii="pingfang sc" w:hAnsi="pingfang sc" w:eastAsia="pingfang sc" w:cs="pingfang sc"/>
                <w:sz w:val="16"/>
                <w:szCs w:val="16"/>
              </w:rPr>
              <w:t>了解联合国儿童基金会整体架构、使命和主要工作领域。</w:t>
            </w:r>
          </w:p>
          <w:p w14:paraId="2E44173B">
            <w:pPr>
              <w:widowControl/>
              <w:jc w:val="center"/>
              <w:rPr>
                <w:rFonts w:ascii="pingfang sc" w:hAnsi="pingfang sc" w:eastAsia="pingfang sc" w:cs="pingfang sc"/>
                <w:sz w:val="16"/>
                <w:szCs w:val="16"/>
              </w:rPr>
            </w:pPr>
            <w:r>
              <w:rPr>
                <w:rFonts w:hint="eastAsia" w:ascii="pingfang sc" w:hAnsi="pingfang sc" w:eastAsia="pingfang sc" w:cs="pingfang sc"/>
                <w:sz w:val="16"/>
                <w:szCs w:val="16"/>
              </w:rPr>
              <w:t>·深入了解联合国儿童基金会在儿童健康方面的项目</w:t>
            </w:r>
          </w:p>
          <w:p w14:paraId="0A56B431">
            <w:pPr>
              <w:widowControl/>
              <w:jc w:val="center"/>
              <w:rPr>
                <w:rFonts w:ascii="pingfang sc" w:hAnsi="pingfang sc" w:eastAsia="pingfang sc" w:cs="pingfang sc"/>
                <w:sz w:val="16"/>
                <w:szCs w:val="16"/>
              </w:rPr>
            </w:pPr>
            <w:r>
              <w:rPr>
                <w:rFonts w:hint="eastAsia" w:ascii="pingfang sc" w:hAnsi="pingfang sc" w:eastAsia="pingfang sc" w:cs="pingfang sc"/>
                <w:sz w:val="16"/>
                <w:szCs w:val="16"/>
              </w:rPr>
              <w:t>·结合自身专业探讨如何赋能联合国儿童基金工作的开展</w:t>
            </w:r>
          </w:p>
          <w:p w14:paraId="6009D3BD">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i/>
                <w:iCs/>
                <w:sz w:val="16"/>
                <w:szCs w:val="16"/>
              </w:rPr>
              <w:t>·</w:t>
            </w:r>
            <w:r>
              <w:rPr>
                <w:rFonts w:hint="eastAsia" w:ascii="pingfang sc" w:hAnsi="pingfang sc" w:eastAsia="pingfang sc" w:cs="pingfang sc"/>
                <w:i/>
                <w:iCs/>
                <w:sz w:val="16"/>
                <w:szCs w:val="16"/>
              </w:rPr>
              <w:t>-联合国儿童基金会现任官员</w:t>
            </w:r>
          </w:p>
        </w:tc>
        <w:tc>
          <w:tcPr>
            <w:tcW w:w="2757" w:type="dxa"/>
            <w:tcBorders>
              <w:top w:val="single" w:color="auto" w:sz="4" w:space="0"/>
              <w:left w:val="single" w:color="auto" w:sz="4" w:space="0"/>
              <w:bottom w:val="single" w:color="auto" w:sz="4" w:space="0"/>
              <w:right w:val="single" w:color="auto" w:sz="4" w:space="0"/>
            </w:tcBorders>
            <w:vAlign w:val="center"/>
          </w:tcPr>
          <w:p w14:paraId="269DB610">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互动培训 | 联合国妇女署</w:t>
            </w:r>
          </w:p>
          <w:p w14:paraId="3209EA60">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了解</w:t>
            </w:r>
            <w:r>
              <w:rPr>
                <w:rFonts w:ascii="pingfang sc" w:hAnsi="pingfang sc" w:eastAsia="pingfang sc" w:cs="pingfang sc"/>
                <w:sz w:val="16"/>
                <w:szCs w:val="16"/>
              </w:rPr>
              <w:t>机构的概况、使命和主要目标</w:t>
            </w:r>
          </w:p>
          <w:p w14:paraId="48DFB8AC">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·深入学习联合国妇女署在推动全球性别平等方面的政策制定和战略规划</w:t>
            </w:r>
          </w:p>
          <w:p w14:paraId="6401200E">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·探讨在国际公共卫生领域的女性赋权项目</w:t>
            </w:r>
          </w:p>
          <w:p w14:paraId="52262AAF">
            <w:pPr>
              <w:autoSpaceDE w:val="0"/>
              <w:autoSpaceDN w:val="0"/>
              <w:adjustRightInd w:val="0"/>
              <w:snapToGrid w:val="0"/>
              <w:jc w:val="center"/>
              <w:rPr>
                <w:rFonts w:ascii="pingfang sc" w:hAnsi="pingfang sc" w:eastAsia="pingfang sc" w:cs="pingfang sc"/>
                <w:i/>
                <w:iCs/>
                <w:sz w:val="16"/>
                <w:szCs w:val="16"/>
              </w:rPr>
            </w:pPr>
            <w:r>
              <w:rPr>
                <w:rFonts w:hint="eastAsia" w:ascii="pingfang sc" w:hAnsi="pingfang sc" w:eastAsia="pingfang sc" w:cs="pingfang sc"/>
                <w:i/>
                <w:iCs/>
                <w:sz w:val="16"/>
                <w:szCs w:val="16"/>
              </w:rPr>
              <w:t>·-联合国妇女署现任官员</w:t>
            </w:r>
          </w:p>
          <w:p w14:paraId="5CF049DF">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lang w:eastAsia="zh-Hans"/>
              </w:rPr>
              <w:t>外交磋商</w:t>
            </w:r>
            <w:r>
              <w:rPr>
                <w:rFonts w:ascii="PingFang SC Semibold" w:hAnsi="PingFang SC Semibold" w:eastAsia="PingFang SC Semibold" w:cs="PingFang SC Semibold"/>
                <w:b/>
                <w:bCs/>
                <w:sz w:val="16"/>
                <w:szCs w:val="16"/>
                <w:lang w:eastAsia="zh-Hans"/>
              </w:rPr>
              <w:t>｜</w:t>
            </w:r>
            <w:r>
              <w:rPr>
                <w:rFonts w:hint="eastAsia" w:ascii="PingFang SC Semibold" w:hAnsi="PingFang SC Semibold" w:eastAsia="PingFang SC Semibold" w:cs="PingFang SC Semibold"/>
                <w:b/>
                <w:bCs/>
                <w:sz w:val="16"/>
                <w:szCs w:val="16"/>
              </w:rPr>
              <w:t>模拟外交磋商-规则讲解</w:t>
            </w:r>
          </w:p>
          <w:p w14:paraId="786F9DA0">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学习国际会议议事规则</w:t>
            </w:r>
          </w:p>
          <w:p w14:paraId="3E08E707">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如何在国际会议中的公开发言</w:t>
            </w:r>
          </w:p>
          <w:p w14:paraId="46941752">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如何修改会议决议</w:t>
            </w:r>
          </w:p>
          <w:p w14:paraId="57044C8C">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磋商过程中怎样与他国代表求同存异</w:t>
            </w:r>
          </w:p>
          <w:p w14:paraId="58949FFA">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决议文件如何生成</w:t>
            </w:r>
          </w:p>
          <w:p w14:paraId="54A110C5">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i/>
                <w:iCs/>
                <w:sz w:val="16"/>
                <w:szCs w:val="16"/>
              </w:rPr>
              <w:t>·</w:t>
            </w:r>
            <w:r>
              <w:rPr>
                <w:rFonts w:hint="eastAsia" w:ascii="pingfang sc" w:hAnsi="pingfang sc" w:eastAsia="pingfang sc" w:cs="pingfang sc"/>
                <w:i/>
                <w:iCs/>
                <w:sz w:val="16"/>
                <w:szCs w:val="16"/>
              </w:rPr>
              <w:t>-国际组织现任官员</w:t>
            </w:r>
          </w:p>
        </w:tc>
        <w:tc>
          <w:tcPr>
            <w:tcW w:w="1917" w:type="dxa"/>
            <w:tcBorders>
              <w:top w:val="single" w:color="auto" w:sz="4" w:space="0"/>
              <w:left w:val="single" w:color="auto" w:sz="4" w:space="0"/>
              <w:bottom w:val="single" w:color="auto" w:sz="4" w:space="0"/>
              <w:right w:val="single" w:color="auto" w:sz="4" w:space="0"/>
            </w:tcBorders>
            <w:vAlign w:val="center"/>
          </w:tcPr>
          <w:p w14:paraId="14BDBEF7">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b/>
                <w:bCs/>
                <w:sz w:val="16"/>
                <w:szCs w:val="16"/>
              </w:rPr>
              <w:t>小组任务</w:t>
            </w:r>
            <w:r>
              <w:rPr>
                <w:rFonts w:hint="eastAsia" w:ascii="pingfang sc" w:hAnsi="pingfang sc" w:eastAsia="pingfang sc" w:cs="pingfang sc"/>
                <w:sz w:val="16"/>
                <w:szCs w:val="16"/>
              </w:rPr>
              <w:t xml:space="preserve"> | </w:t>
            </w:r>
            <w:r>
              <w:rPr>
                <w:rFonts w:hint="eastAsia" w:ascii="pingfang sc" w:hAnsi="pingfang sc" w:eastAsia="pingfang sc" w:cs="pingfang sc"/>
                <w:b/>
                <w:bCs/>
                <w:sz w:val="16"/>
                <w:szCs w:val="16"/>
              </w:rPr>
              <w:t>结业演讲、外交磋商准备</w:t>
            </w:r>
          </w:p>
          <w:p w14:paraId="5A450795">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小组讨论、头脑风暴</w:t>
            </w:r>
          </w:p>
          <w:p w14:paraId="33EC3C5F">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·对应分配国家角色进行资料调研、查阅、梳理等</w:t>
            </w:r>
          </w:p>
        </w:tc>
      </w:tr>
      <w:tr w14:paraId="0D68A855">
        <w:trPr>
          <w:trHeight w:val="2772" w:hRule="atLeast"/>
        </w:trPr>
        <w:tc>
          <w:tcPr>
            <w:tcW w:w="559" w:type="dxa"/>
            <w:tcBorders>
              <w:top w:val="single" w:color="auto" w:sz="4" w:space="0"/>
              <w:left w:val="single" w:color="auto" w:sz="4" w:space="0"/>
              <w:bottom w:val="single" w:color="auto" w:sz="4" w:space="0"/>
              <w:right w:val="single" w:color="auto" w:sz="4" w:space="0"/>
            </w:tcBorders>
            <w:vAlign w:val="center"/>
          </w:tcPr>
          <w:p w14:paraId="0E7EBB82">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lang w:eastAsia="zh-Hans"/>
              </w:rPr>
              <w:t>D1</w:t>
            </w:r>
            <w:r>
              <w:rPr>
                <w:rFonts w:ascii="Times New Roman" w:hAnsi="Times New Roman" w:eastAsia="PingFang SC Regular" w:cs="Times New Roman"/>
                <w:b/>
                <w:bCs/>
                <w:sz w:val="16"/>
                <w:szCs w:val="16"/>
              </w:rPr>
              <w:t>1</w:t>
            </w:r>
          </w:p>
          <w:p w14:paraId="0D4D1DE5">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rPr>
              <w:t>全球公共卫生规划</w:t>
            </w:r>
          </w:p>
        </w:tc>
        <w:tc>
          <w:tcPr>
            <w:tcW w:w="3244" w:type="dxa"/>
            <w:tcBorders>
              <w:top w:val="single" w:color="auto" w:sz="4" w:space="0"/>
              <w:left w:val="single" w:color="auto" w:sz="4" w:space="0"/>
              <w:bottom w:val="single" w:color="auto" w:sz="4" w:space="0"/>
              <w:right w:val="single" w:color="auto" w:sz="4" w:space="0"/>
            </w:tcBorders>
            <w:vAlign w:val="center"/>
          </w:tcPr>
          <w:p w14:paraId="7E99C021">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lang w:eastAsia="zh-Hans"/>
              </w:rPr>
              <w:t xml:space="preserve">外交参访 | </w:t>
            </w:r>
            <w:r>
              <w:rPr>
                <w:rFonts w:hint="eastAsia" w:ascii="PingFang SC Semibold" w:hAnsi="PingFang SC Semibold" w:eastAsia="PingFang SC Semibold" w:cs="PingFang SC Semibold"/>
                <w:b/>
                <w:bCs/>
                <w:sz w:val="16"/>
                <w:szCs w:val="16"/>
              </w:rPr>
              <w:t>国际红十字会及红新月会博物馆</w:t>
            </w:r>
          </w:p>
          <w:p w14:paraId="68E59425">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lang w:eastAsia="zh-Hans"/>
              </w:rPr>
              <w:t>·</w:t>
            </w:r>
            <w:r>
              <w:rPr>
                <w:rFonts w:hint="eastAsia" w:ascii="pingfang sc" w:hAnsi="pingfang sc" w:eastAsia="pingfang sc" w:cs="pingfang sc"/>
                <w:sz w:val="16"/>
                <w:szCs w:val="16"/>
              </w:rPr>
              <w:t>为纪念由亨利杜南（Henry Dunant）所创立的红十字会而建，记载了红十字会自开创以来140年的世界和平运动历程</w:t>
            </w:r>
          </w:p>
        </w:tc>
        <w:tc>
          <w:tcPr>
            <w:tcW w:w="2757" w:type="dxa"/>
            <w:tcBorders>
              <w:top w:val="single" w:color="auto" w:sz="4" w:space="0"/>
              <w:left w:val="single" w:color="auto" w:sz="4" w:space="0"/>
              <w:bottom w:val="single" w:color="auto" w:sz="4" w:space="0"/>
              <w:right w:val="single" w:color="auto" w:sz="4" w:space="0"/>
            </w:tcBorders>
            <w:vAlign w:val="center"/>
          </w:tcPr>
          <w:p w14:paraId="62D46F0B">
            <w:pPr>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互动培训 | 国际劳工组织</w:t>
            </w:r>
          </w:p>
          <w:p w14:paraId="263B0FC5">
            <w:pPr>
              <w:adjustRightInd w:val="0"/>
              <w:snapToGrid w:val="0"/>
              <w:jc w:val="center"/>
              <w:rPr>
                <w:rFonts w:ascii="pingfang sc" w:hAnsi="pingfang sc" w:eastAsia="pingfang sc" w:cs="pingfang sc"/>
                <w:sz w:val="16"/>
                <w:szCs w:val="16"/>
              </w:rPr>
            </w:pPr>
            <w:r>
              <w:rPr>
                <w:rFonts w:hint="eastAsia" w:ascii="PingFang SC Semibold" w:hAnsi="PingFang SC Semibold" w:eastAsia="PingFang SC Semibold" w:cs="PingFang SC Semibold"/>
                <w:b/>
                <w:bCs/>
                <w:sz w:val="16"/>
                <w:szCs w:val="16"/>
              </w:rPr>
              <w:t xml:space="preserve"> </w:t>
            </w:r>
            <w:r>
              <w:rPr>
                <w:rFonts w:hint="eastAsia" w:ascii="pingfang sc" w:hAnsi="pingfang sc" w:eastAsia="pingfang sc" w:cs="pingfang sc"/>
                <w:sz w:val="16"/>
                <w:szCs w:val="16"/>
              </w:rPr>
              <w:t xml:space="preserve"> ·全球就业形势与行业分析</w:t>
            </w:r>
          </w:p>
          <w:p w14:paraId="622D5E59">
            <w:pPr>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 xml:space="preserve">  ·联合国系统内实习就业形势与技巧</w:t>
            </w:r>
          </w:p>
          <w:p w14:paraId="40F27A78">
            <w:pPr>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·国际劳工与教育相关的项目及结合点</w:t>
            </w:r>
          </w:p>
          <w:p w14:paraId="3A0B76EA">
            <w:pPr>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 xml:space="preserve"> </w:t>
            </w:r>
            <w:r>
              <w:rPr>
                <w:rFonts w:hint="eastAsia" w:ascii="pingfang sc" w:hAnsi="pingfang sc" w:eastAsia="pingfang sc" w:cs="pingfang sc"/>
                <w:i/>
                <w:iCs/>
                <w:color w:val="000000"/>
                <w:sz w:val="16"/>
                <w:szCs w:val="16"/>
              </w:rPr>
              <w:t>-</w:t>
            </w:r>
            <w:r>
              <w:rPr>
                <w:rFonts w:hint="eastAsia" w:ascii="pingfang sc" w:hAnsi="pingfang sc" w:eastAsia="pingfang sc" w:cs="pingfang sc"/>
                <w:i/>
                <w:iCs/>
                <w:sz w:val="16"/>
                <w:szCs w:val="16"/>
              </w:rPr>
              <w:t>国际劳工组织现任官员</w:t>
            </w:r>
          </w:p>
          <w:p w14:paraId="61C4547E">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lang w:eastAsia="zh-Hans"/>
              </w:rPr>
              <w:t>外交磋商</w:t>
            </w:r>
            <w:r>
              <w:rPr>
                <w:rFonts w:ascii="PingFang SC Semibold" w:hAnsi="PingFang SC Semibold" w:eastAsia="PingFang SC Semibold" w:cs="PingFang SC Semibold"/>
                <w:b/>
                <w:bCs/>
                <w:sz w:val="16"/>
                <w:szCs w:val="16"/>
                <w:lang w:eastAsia="zh-Hans"/>
              </w:rPr>
              <w:t>｜</w:t>
            </w:r>
            <w:r>
              <w:rPr>
                <w:rFonts w:hint="eastAsia" w:ascii="PingFang SC Semibold" w:hAnsi="PingFang SC Semibold" w:eastAsia="PingFang SC Semibold" w:cs="PingFang SC Semibold"/>
                <w:b/>
                <w:bCs/>
                <w:sz w:val="16"/>
                <w:szCs w:val="16"/>
              </w:rPr>
              <w:t>模拟外交磋商-决议汇报</w:t>
            </w:r>
          </w:p>
          <w:p w14:paraId="4600B572">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实地模拟联合国会议</w:t>
            </w:r>
          </w:p>
          <w:p w14:paraId="7748BDB8">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·进行最终决议汇报</w:t>
            </w:r>
          </w:p>
          <w:p w14:paraId="57CAFE1E">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i/>
                <w:iCs/>
                <w:sz w:val="16"/>
                <w:szCs w:val="16"/>
              </w:rPr>
              <w:t>·</w:t>
            </w:r>
            <w:r>
              <w:rPr>
                <w:rFonts w:hint="eastAsia" w:ascii="pingfang sc" w:hAnsi="pingfang sc" w:eastAsia="pingfang sc" w:cs="pingfang sc"/>
                <w:i/>
                <w:iCs/>
                <w:sz w:val="16"/>
                <w:szCs w:val="16"/>
              </w:rPr>
              <w:t>-国际组织现任官员</w:t>
            </w:r>
          </w:p>
        </w:tc>
        <w:tc>
          <w:tcPr>
            <w:tcW w:w="1917" w:type="dxa"/>
            <w:tcBorders>
              <w:top w:val="single" w:color="auto" w:sz="4" w:space="0"/>
              <w:left w:val="single" w:color="auto" w:sz="4" w:space="0"/>
              <w:bottom w:val="single" w:color="auto" w:sz="4" w:space="0"/>
              <w:right w:val="single" w:color="auto" w:sz="4" w:space="0"/>
            </w:tcBorders>
            <w:vAlign w:val="center"/>
          </w:tcPr>
          <w:p w14:paraId="6963989E">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b/>
                <w:bCs/>
                <w:sz w:val="16"/>
                <w:szCs w:val="16"/>
              </w:rPr>
              <w:t>小组任务</w:t>
            </w:r>
            <w:r>
              <w:rPr>
                <w:rFonts w:hint="eastAsia" w:ascii="pingfang sc" w:hAnsi="pingfang sc" w:eastAsia="pingfang sc" w:cs="pingfang sc"/>
                <w:sz w:val="16"/>
                <w:szCs w:val="16"/>
              </w:rPr>
              <w:t xml:space="preserve"> | </w:t>
            </w:r>
            <w:r>
              <w:rPr>
                <w:rFonts w:hint="eastAsia" w:ascii="pingfang sc" w:hAnsi="pingfang sc" w:eastAsia="pingfang sc" w:cs="pingfang sc"/>
                <w:b/>
                <w:bCs/>
                <w:sz w:val="16"/>
                <w:szCs w:val="16"/>
              </w:rPr>
              <w:t>结业演讲、外交磋商准备</w:t>
            </w:r>
          </w:p>
          <w:p w14:paraId="242BBEBC">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小组讨论、头脑风暴</w:t>
            </w:r>
          </w:p>
          <w:p w14:paraId="399DF146">
            <w:pPr>
              <w:autoSpaceDE w:val="0"/>
              <w:autoSpaceDN w:val="0"/>
              <w:adjustRightInd w:val="0"/>
              <w:snapToGrid w:val="0"/>
              <w:jc w:val="center"/>
              <w:rPr>
                <w:rFonts w:ascii="PingFang SC Semibold" w:hAnsi="PingFang SC Semibold" w:eastAsia="PingFang SC Semibold" w:cs="PingFang SC Semibold"/>
                <w:b/>
                <w:bCs/>
                <w:sz w:val="16"/>
                <w:szCs w:val="16"/>
                <w:lang w:eastAsia="zh-Hans"/>
              </w:rPr>
            </w:pPr>
            <w:r>
              <w:rPr>
                <w:rFonts w:hint="eastAsia" w:ascii="pingfang sc" w:hAnsi="pingfang sc" w:eastAsia="pingfang sc" w:cs="pingfang sc"/>
                <w:sz w:val="16"/>
                <w:szCs w:val="16"/>
              </w:rPr>
              <w:t>·对应分配国家角色进行资料调研、查阅、梳理等</w:t>
            </w:r>
          </w:p>
        </w:tc>
      </w:tr>
      <w:tr w14:paraId="2F5C5594">
        <w:trPr>
          <w:trHeight w:val="90" w:hRule="atLeast"/>
        </w:trPr>
        <w:tc>
          <w:tcPr>
            <w:tcW w:w="559" w:type="dxa"/>
            <w:tcBorders>
              <w:top w:val="single" w:color="auto" w:sz="4" w:space="0"/>
              <w:left w:val="single" w:color="auto" w:sz="4" w:space="0"/>
              <w:bottom w:val="single" w:color="auto" w:sz="4" w:space="0"/>
              <w:right w:val="single" w:color="auto" w:sz="4" w:space="0"/>
            </w:tcBorders>
            <w:vAlign w:val="center"/>
          </w:tcPr>
          <w:p w14:paraId="43C3D6E7">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lang w:eastAsia="zh-Hans"/>
              </w:rPr>
              <w:t>D1</w:t>
            </w:r>
            <w:r>
              <w:rPr>
                <w:rFonts w:ascii="Times New Roman" w:hAnsi="Times New Roman" w:eastAsia="PingFang SC Regular" w:cs="Times New Roman"/>
                <w:b/>
                <w:bCs/>
                <w:sz w:val="16"/>
                <w:szCs w:val="16"/>
              </w:rPr>
              <w:t>2</w:t>
            </w:r>
          </w:p>
          <w:p w14:paraId="6FFCC64D">
            <w:pPr>
              <w:autoSpaceDE w:val="0"/>
              <w:autoSpaceDN w:val="0"/>
              <w:adjustRightInd w:val="0"/>
              <w:snapToGrid w:val="0"/>
              <w:jc w:val="center"/>
              <w:rPr>
                <w:rFonts w:ascii="Times New Roman" w:hAnsi="Times New Roman" w:eastAsia="PingFang SC Regular" w:cs="Times New Roman"/>
                <w:b/>
                <w:bCs/>
                <w:sz w:val="16"/>
                <w:szCs w:val="16"/>
                <w:lang w:eastAsia="zh-Hans"/>
              </w:rPr>
            </w:pPr>
            <w:r>
              <w:rPr>
                <w:rFonts w:ascii="Times New Roman" w:hAnsi="Times New Roman" w:eastAsia="PingFang SC Regular" w:cs="Times New Roman"/>
                <w:b/>
                <w:bCs/>
                <w:sz w:val="16"/>
                <w:szCs w:val="16"/>
                <w:lang w:eastAsia="zh-Hans"/>
              </w:rPr>
              <w:t>职业发展</w:t>
            </w:r>
          </w:p>
        </w:tc>
        <w:tc>
          <w:tcPr>
            <w:tcW w:w="3244" w:type="dxa"/>
            <w:tcBorders>
              <w:top w:val="single" w:color="auto" w:sz="4" w:space="0"/>
              <w:left w:val="single" w:color="auto" w:sz="4" w:space="0"/>
              <w:bottom w:val="single" w:color="auto" w:sz="4" w:space="0"/>
              <w:right w:val="single" w:color="auto" w:sz="4" w:space="0"/>
            </w:tcBorders>
            <w:vAlign w:val="center"/>
          </w:tcPr>
          <w:p w14:paraId="510BAA19">
            <w:pPr>
              <w:autoSpaceDE w:val="0"/>
              <w:autoSpaceDN w:val="0"/>
              <w:adjustRightInd w:val="0"/>
              <w:snapToGrid w:val="0"/>
              <w:jc w:val="center"/>
              <w:rPr>
                <w:rFonts w:ascii="PingFang SC Semibold" w:hAnsi="PingFang SC Semibold" w:eastAsia="PingFang SC Semibold" w:cs="PingFang SC Semibold"/>
                <w:b/>
                <w:bCs/>
                <w:sz w:val="16"/>
                <w:szCs w:val="16"/>
                <w:lang w:eastAsia="zh-Hans"/>
              </w:rPr>
            </w:pPr>
            <w:r>
              <w:rPr>
                <w:rFonts w:hint="eastAsia" w:ascii="PingFang SC Semibold" w:hAnsi="PingFang SC Semibold" w:eastAsia="PingFang SC Semibold" w:cs="PingFang SC Semibold"/>
                <w:b/>
                <w:bCs/>
                <w:sz w:val="16"/>
                <w:szCs w:val="16"/>
                <w:lang w:eastAsia="zh-Hans"/>
              </w:rPr>
              <w:t>联合国实习、就业与职业发展</w:t>
            </w:r>
          </w:p>
          <w:p w14:paraId="0640DF01">
            <w:pPr>
              <w:autoSpaceDE w:val="0"/>
              <w:autoSpaceDN w:val="0"/>
              <w:adjustRightInd w:val="0"/>
              <w:snapToGrid w:val="0"/>
              <w:jc w:val="center"/>
              <w:rPr>
                <w:rFonts w:ascii="pingfang sc" w:hAnsi="pingfang sc" w:eastAsia="pingfang sc" w:cs="pingfang sc"/>
                <w:sz w:val="16"/>
                <w:szCs w:val="16"/>
                <w:lang w:eastAsia="zh-Hans"/>
              </w:rPr>
            </w:pPr>
            <w:r>
              <w:rPr>
                <w:rFonts w:ascii="pingfang sc" w:hAnsi="pingfang sc" w:eastAsia="pingfang sc" w:cs="pingfang sc"/>
                <w:sz w:val="16"/>
                <w:szCs w:val="16"/>
                <w:lang w:eastAsia="zh-Hans"/>
              </w:rPr>
              <w:t>·</w:t>
            </w:r>
            <w:r>
              <w:rPr>
                <w:rFonts w:hint="eastAsia" w:ascii="pingfang sc" w:hAnsi="pingfang sc" w:eastAsia="pingfang sc" w:cs="pingfang sc"/>
                <w:sz w:val="16"/>
                <w:szCs w:val="16"/>
                <w:lang w:eastAsia="zh-Hans"/>
              </w:rPr>
              <w:t>联合国职员选拔标准及所需职业技能</w:t>
            </w:r>
          </w:p>
          <w:p w14:paraId="648B8471">
            <w:pPr>
              <w:autoSpaceDE w:val="0"/>
              <w:autoSpaceDN w:val="0"/>
              <w:adjustRightInd w:val="0"/>
              <w:snapToGrid w:val="0"/>
              <w:jc w:val="center"/>
              <w:rPr>
                <w:rFonts w:ascii="pingfang sc" w:hAnsi="pingfang sc" w:eastAsia="pingfang sc" w:cs="pingfang sc"/>
                <w:sz w:val="16"/>
                <w:szCs w:val="16"/>
                <w:lang w:eastAsia="zh-Hans"/>
              </w:rPr>
            </w:pPr>
            <w:r>
              <w:rPr>
                <w:rFonts w:ascii="pingfang sc" w:hAnsi="pingfang sc" w:eastAsia="pingfang sc" w:cs="pingfang sc"/>
                <w:sz w:val="16"/>
                <w:szCs w:val="16"/>
                <w:lang w:eastAsia="zh-Hans"/>
              </w:rPr>
              <w:t>·</w:t>
            </w:r>
            <w:r>
              <w:rPr>
                <w:rFonts w:hint="eastAsia" w:ascii="pingfang sc" w:hAnsi="pingfang sc" w:eastAsia="pingfang sc" w:cs="pingfang sc"/>
                <w:sz w:val="16"/>
                <w:szCs w:val="16"/>
                <w:lang w:eastAsia="zh-Hans"/>
              </w:rPr>
              <w:t>联合国岗位应聘流程及技巧</w:t>
            </w:r>
          </w:p>
          <w:p w14:paraId="6B7FDC47">
            <w:pPr>
              <w:autoSpaceDE w:val="0"/>
              <w:autoSpaceDN w:val="0"/>
              <w:adjustRightInd w:val="0"/>
              <w:snapToGrid w:val="0"/>
              <w:jc w:val="center"/>
              <w:rPr>
                <w:rFonts w:ascii="pingfang sc" w:hAnsi="pingfang sc" w:eastAsia="pingfang sc" w:cs="pingfang sc"/>
                <w:sz w:val="16"/>
                <w:szCs w:val="16"/>
                <w:lang w:eastAsia="zh-Hans"/>
              </w:rPr>
            </w:pPr>
            <w:r>
              <w:rPr>
                <w:rFonts w:ascii="pingfang sc" w:hAnsi="pingfang sc" w:eastAsia="pingfang sc" w:cs="pingfang sc"/>
                <w:sz w:val="16"/>
                <w:szCs w:val="16"/>
                <w:lang w:eastAsia="zh-Hans"/>
              </w:rPr>
              <w:t>·</w:t>
            </w:r>
            <w:r>
              <w:rPr>
                <w:rFonts w:hint="eastAsia" w:ascii="pingfang sc" w:hAnsi="pingfang sc" w:eastAsia="pingfang sc" w:cs="pingfang sc"/>
                <w:sz w:val="16"/>
                <w:szCs w:val="16"/>
                <w:lang w:eastAsia="zh-Hans"/>
              </w:rPr>
              <w:t>跨文化人际交往与合作能力</w:t>
            </w:r>
          </w:p>
          <w:p w14:paraId="37B25C8C">
            <w:pPr>
              <w:autoSpaceDE w:val="0"/>
              <w:autoSpaceDN w:val="0"/>
              <w:adjustRightInd w:val="0"/>
              <w:snapToGrid w:val="0"/>
              <w:jc w:val="center"/>
              <w:rPr>
                <w:rFonts w:ascii="pingfang sc" w:hAnsi="pingfang sc" w:eastAsia="pingfang sc" w:cs="pingfang sc"/>
                <w:sz w:val="16"/>
                <w:szCs w:val="16"/>
                <w:lang w:eastAsia="zh-Hans"/>
              </w:rPr>
            </w:pPr>
            <w:r>
              <w:rPr>
                <w:rFonts w:ascii="pingfang sc" w:hAnsi="pingfang sc" w:eastAsia="pingfang sc" w:cs="pingfang sc"/>
                <w:sz w:val="16"/>
                <w:szCs w:val="16"/>
                <w:lang w:eastAsia="zh-Hans"/>
              </w:rPr>
              <w:t>·</w:t>
            </w:r>
            <w:r>
              <w:rPr>
                <w:rFonts w:hint="eastAsia" w:ascii="pingfang sc" w:hAnsi="pingfang sc" w:eastAsia="pingfang sc" w:cs="pingfang sc"/>
                <w:sz w:val="16"/>
                <w:szCs w:val="16"/>
                <w:lang w:eastAsia="zh-Hans"/>
              </w:rPr>
              <w:t>简历及求职信的写作/面试技巧</w:t>
            </w:r>
          </w:p>
          <w:p w14:paraId="54574B77">
            <w:pPr>
              <w:autoSpaceDE w:val="0"/>
              <w:autoSpaceDN w:val="0"/>
              <w:adjustRightInd w:val="0"/>
              <w:snapToGrid w:val="0"/>
              <w:jc w:val="center"/>
              <w:rPr>
                <w:rFonts w:ascii="pingfang sc" w:hAnsi="pingfang sc" w:eastAsia="pingfang sc" w:cs="pingfang sc"/>
                <w:sz w:val="16"/>
                <w:szCs w:val="16"/>
                <w:lang w:eastAsia="zh-Hans"/>
              </w:rPr>
            </w:pPr>
            <w:r>
              <w:rPr>
                <w:rFonts w:ascii="pingfang sc" w:hAnsi="pingfang sc" w:eastAsia="pingfang sc" w:cs="pingfang sc"/>
                <w:sz w:val="16"/>
                <w:szCs w:val="16"/>
                <w:lang w:eastAsia="zh-Hans"/>
              </w:rPr>
              <w:t>·</w:t>
            </w:r>
            <w:r>
              <w:rPr>
                <w:rFonts w:hint="eastAsia" w:ascii="pingfang sc" w:hAnsi="pingfang sc" w:eastAsia="pingfang sc" w:cs="pingfang sc"/>
                <w:sz w:val="16"/>
                <w:szCs w:val="16"/>
                <w:lang w:eastAsia="zh-Hans"/>
              </w:rPr>
              <w:t>利用过往经历和“软技能”的提升</w:t>
            </w:r>
          </w:p>
          <w:p w14:paraId="4FF94AE1">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w:t>
            </w:r>
            <w:r>
              <w:rPr>
                <w:rFonts w:hint="eastAsia" w:ascii="pingfang sc" w:hAnsi="pingfang sc" w:eastAsia="pingfang sc" w:cs="pingfang sc"/>
                <w:i/>
                <w:iCs/>
                <w:sz w:val="16"/>
                <w:szCs w:val="16"/>
              </w:rPr>
              <w:t>联合国人力资源现任官员、国际组织现任实习生</w:t>
            </w:r>
          </w:p>
        </w:tc>
        <w:tc>
          <w:tcPr>
            <w:tcW w:w="2757" w:type="dxa"/>
            <w:tcBorders>
              <w:top w:val="single" w:color="auto" w:sz="4" w:space="0"/>
              <w:left w:val="single" w:color="auto" w:sz="4" w:space="0"/>
              <w:bottom w:val="single" w:color="auto" w:sz="4" w:space="0"/>
              <w:right w:val="single" w:color="auto" w:sz="4" w:space="0"/>
            </w:tcBorders>
            <w:vAlign w:val="center"/>
          </w:tcPr>
          <w:p w14:paraId="1A024C8C">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结业演讲及学习成果展示</w:t>
            </w:r>
          </w:p>
          <w:p w14:paraId="7243BEB5">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项目回顾</w:t>
            </w:r>
          </w:p>
          <w:p w14:paraId="27BE7C15">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结业典礼&amp;颁发证书仪式</w:t>
            </w:r>
          </w:p>
        </w:tc>
        <w:tc>
          <w:tcPr>
            <w:tcW w:w="1917" w:type="dxa"/>
            <w:tcBorders>
              <w:top w:val="single" w:color="auto" w:sz="4" w:space="0"/>
              <w:left w:val="single" w:color="auto" w:sz="4" w:space="0"/>
              <w:bottom w:val="single" w:color="auto" w:sz="4" w:space="0"/>
              <w:right w:val="single" w:color="auto" w:sz="4" w:space="0"/>
            </w:tcBorders>
            <w:vAlign w:val="center"/>
          </w:tcPr>
          <w:p w14:paraId="47572621">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小组任务｜项目回顾</w:t>
            </w:r>
          </w:p>
          <w:p w14:paraId="1F6601DF">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·分享学习到的知识与思考</w:t>
            </w:r>
          </w:p>
          <w:p w14:paraId="4AEE617C">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·撰写个人项目感受、优化倡议书终稿</w:t>
            </w:r>
          </w:p>
        </w:tc>
      </w:tr>
      <w:tr w14:paraId="663DC34D">
        <w:trPr>
          <w:trHeight w:val="1750" w:hRule="atLeast"/>
        </w:trPr>
        <w:tc>
          <w:tcPr>
            <w:tcW w:w="559" w:type="dxa"/>
            <w:tcBorders>
              <w:top w:val="single" w:color="auto" w:sz="4" w:space="0"/>
              <w:left w:val="single" w:color="auto" w:sz="4" w:space="0"/>
              <w:bottom w:val="single" w:color="auto" w:sz="4" w:space="0"/>
              <w:right w:val="single" w:color="auto" w:sz="4" w:space="0"/>
            </w:tcBorders>
            <w:vAlign w:val="center"/>
          </w:tcPr>
          <w:p w14:paraId="251E3051">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lang w:eastAsia="zh-Hans"/>
              </w:rPr>
              <w:t>D1</w:t>
            </w:r>
            <w:r>
              <w:rPr>
                <w:rFonts w:ascii="Times New Roman" w:hAnsi="Times New Roman" w:eastAsia="PingFang SC Regular" w:cs="Times New Roman"/>
                <w:b/>
                <w:bCs/>
                <w:sz w:val="16"/>
                <w:szCs w:val="16"/>
              </w:rPr>
              <w:t>3</w:t>
            </w:r>
          </w:p>
          <w:p w14:paraId="62CB02BF">
            <w:pPr>
              <w:autoSpaceDE w:val="0"/>
              <w:autoSpaceDN w:val="0"/>
              <w:adjustRightInd w:val="0"/>
              <w:snapToGrid w:val="0"/>
              <w:jc w:val="center"/>
              <w:rPr>
                <w:rFonts w:ascii="Times New Roman" w:hAnsi="Times New Roman" w:eastAsia="PingFang SC Regular" w:cs="Times New Roman"/>
                <w:b/>
                <w:bCs/>
                <w:sz w:val="16"/>
                <w:szCs w:val="16"/>
                <w:lang w:eastAsia="zh-Hans"/>
              </w:rPr>
            </w:pPr>
            <w:r>
              <w:rPr>
                <w:rFonts w:ascii="Times New Roman" w:hAnsi="Times New Roman" w:eastAsia="PingFang SC Regular" w:cs="Times New Roman"/>
                <w:b/>
                <w:bCs/>
                <w:sz w:val="16"/>
                <w:szCs w:val="16"/>
                <w:lang w:eastAsia="zh-Hans"/>
              </w:rPr>
              <w:t xml:space="preserve">人文参访 </w:t>
            </w:r>
          </w:p>
        </w:tc>
        <w:tc>
          <w:tcPr>
            <w:tcW w:w="3244" w:type="dxa"/>
            <w:tcBorders>
              <w:top w:val="single" w:color="auto" w:sz="4" w:space="0"/>
              <w:left w:val="single" w:color="auto" w:sz="4" w:space="0"/>
              <w:bottom w:val="single" w:color="auto" w:sz="4" w:space="0"/>
              <w:right w:val="single" w:color="auto" w:sz="4" w:space="0"/>
            </w:tcBorders>
            <w:vAlign w:val="center"/>
          </w:tcPr>
          <w:p w14:paraId="0298A7DA">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人文参访 | 欧洲核子研究组织CERN</w:t>
            </w:r>
          </w:p>
          <w:p w14:paraId="48587524">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世界上最大型的粒子物理学实验室，也是万维网的发源地</w:t>
            </w:r>
          </w:p>
          <w:p w14:paraId="73D481FC">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lang w:eastAsia="zh-Hans"/>
              </w:rPr>
              <w:t>·</w:t>
            </w:r>
            <w:r>
              <w:rPr>
                <w:rFonts w:hint="eastAsia" w:ascii="pingfang sc" w:hAnsi="pingfang sc" w:eastAsia="pingfang sc" w:cs="pingfang sc"/>
                <w:sz w:val="16"/>
                <w:szCs w:val="16"/>
                <w:lang w:eastAsia="zh-Hans"/>
              </w:rPr>
              <w:t>介绍</w:t>
            </w:r>
            <w:r>
              <w:rPr>
                <w:rFonts w:hint="eastAsia" w:ascii="pingfang sc" w:hAnsi="pingfang sc" w:eastAsia="pingfang sc" w:cs="pingfang sc"/>
                <w:sz w:val="16"/>
                <w:szCs w:val="16"/>
              </w:rPr>
              <w:t>欧洲粒子物理实验室</w:t>
            </w:r>
          </w:p>
          <w:p w14:paraId="6361148D">
            <w:pPr>
              <w:autoSpaceDE w:val="0"/>
              <w:autoSpaceDN w:val="0"/>
              <w:adjustRightInd w:val="0"/>
              <w:snapToGrid w:val="0"/>
              <w:jc w:val="center"/>
              <w:rPr>
                <w:rFonts w:ascii="PingFang SC Semibold" w:hAnsi="PingFang SC Semibold" w:eastAsia="PingFang SC Semibold" w:cs="PingFang SC Semibold"/>
                <w:b/>
                <w:bCs/>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介绍大型粒子对撞机（跨越瑞士和法国两个国家）</w:t>
            </w:r>
          </w:p>
        </w:tc>
        <w:tc>
          <w:tcPr>
            <w:tcW w:w="2757" w:type="dxa"/>
            <w:tcBorders>
              <w:top w:val="single" w:color="auto" w:sz="4" w:space="0"/>
              <w:left w:val="single" w:color="auto" w:sz="4" w:space="0"/>
              <w:bottom w:val="single" w:color="auto" w:sz="4" w:space="0"/>
              <w:right w:val="single" w:color="auto" w:sz="4" w:space="0"/>
            </w:tcBorders>
            <w:vAlign w:val="center"/>
          </w:tcPr>
          <w:p w14:paraId="1E3FEFC1">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调研参访 | 法国·童话小镇安纳西</w:t>
            </w:r>
          </w:p>
          <w:p w14:paraId="317C16EC">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·安纳西坐落在法国阿尔卑斯山，是一座风景如画的小镇，融合了自然美景、丰富的历史和阿尔卑斯山的魅力</w:t>
            </w:r>
          </w:p>
          <w:p w14:paraId="4CBEB85D">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·安纳西老城区散发着旧世界的魅力，而运河和迷人的湖泊营造出独特的威尼斯氛围</w:t>
            </w:r>
          </w:p>
        </w:tc>
        <w:tc>
          <w:tcPr>
            <w:tcW w:w="1917" w:type="dxa"/>
            <w:tcBorders>
              <w:top w:val="single" w:color="auto" w:sz="4" w:space="0"/>
              <w:left w:val="single" w:color="auto" w:sz="4" w:space="0"/>
              <w:bottom w:val="single" w:color="auto" w:sz="4" w:space="0"/>
              <w:right w:val="single" w:color="auto" w:sz="4" w:space="0"/>
            </w:tcBorders>
            <w:vAlign w:val="center"/>
          </w:tcPr>
          <w:p w14:paraId="7BDE1936">
            <w:pPr>
              <w:autoSpaceDE w:val="0"/>
              <w:autoSpaceDN w:val="0"/>
              <w:adjustRightInd w:val="0"/>
              <w:snapToGrid w:val="0"/>
              <w:jc w:val="center"/>
              <w:rPr>
                <w:rFonts w:ascii="pingfang sc" w:hAnsi="pingfang sc" w:eastAsia="pingfang sc" w:cs="pingfang sc"/>
                <w:sz w:val="16"/>
                <w:szCs w:val="16"/>
              </w:rPr>
            </w:pPr>
            <w:r>
              <w:rPr>
                <w:rFonts w:hint="eastAsia" w:ascii="PingFang SC Semibold" w:hAnsi="PingFang SC Semibold" w:eastAsia="PingFang SC Semibold" w:cs="PingFang SC Semibold"/>
                <w:b/>
                <w:bCs/>
                <w:sz w:val="16"/>
                <w:szCs w:val="16"/>
              </w:rPr>
              <w:t>小组任务｜项目回顾</w:t>
            </w:r>
          </w:p>
          <w:p w14:paraId="0FADD224">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·分享学习到的知识与思考</w:t>
            </w:r>
          </w:p>
          <w:p w14:paraId="14C8BB9E">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·撰写个人项目感受、优化倡议书终稿</w:t>
            </w:r>
          </w:p>
        </w:tc>
      </w:tr>
      <w:tr w14:paraId="74CD79DA">
        <w:trPr>
          <w:trHeight w:val="2234" w:hRule="atLeast"/>
        </w:trPr>
        <w:tc>
          <w:tcPr>
            <w:tcW w:w="559" w:type="dxa"/>
            <w:tcBorders>
              <w:top w:val="single" w:color="auto" w:sz="4" w:space="0"/>
              <w:left w:val="single" w:color="auto" w:sz="4" w:space="0"/>
              <w:bottom w:val="single" w:color="auto" w:sz="4" w:space="0"/>
              <w:right w:val="single" w:color="auto" w:sz="4" w:space="0"/>
            </w:tcBorders>
            <w:vAlign w:val="center"/>
          </w:tcPr>
          <w:p w14:paraId="3D602087">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lang w:eastAsia="zh-Hans"/>
              </w:rPr>
              <w:t>D1</w:t>
            </w:r>
            <w:r>
              <w:rPr>
                <w:rFonts w:ascii="Times New Roman" w:hAnsi="Times New Roman" w:eastAsia="PingFang SC Regular" w:cs="Times New Roman"/>
                <w:b/>
                <w:bCs/>
                <w:sz w:val="16"/>
                <w:szCs w:val="16"/>
              </w:rPr>
              <w:t>4</w:t>
            </w:r>
          </w:p>
          <w:p w14:paraId="5039EA5A">
            <w:pPr>
              <w:autoSpaceDE w:val="0"/>
              <w:autoSpaceDN w:val="0"/>
              <w:adjustRightInd w:val="0"/>
              <w:snapToGrid w:val="0"/>
              <w:jc w:val="center"/>
              <w:rPr>
                <w:rFonts w:ascii="Times New Roman" w:hAnsi="Times New Roman" w:eastAsia="PingFang SC Regular" w:cs="Times New Roman"/>
                <w:b/>
                <w:bCs/>
                <w:sz w:val="16"/>
                <w:szCs w:val="16"/>
                <w:lang w:eastAsia="zh-Hans"/>
              </w:rPr>
            </w:pPr>
            <w:r>
              <w:rPr>
                <w:rFonts w:ascii="Times New Roman" w:hAnsi="Times New Roman" w:eastAsia="PingFang SC Regular" w:cs="Times New Roman"/>
                <w:b/>
                <w:bCs/>
                <w:sz w:val="16"/>
                <w:szCs w:val="16"/>
                <w:lang w:eastAsia="zh-Hans"/>
              </w:rPr>
              <w:t>人文参访</w:t>
            </w:r>
          </w:p>
        </w:tc>
        <w:tc>
          <w:tcPr>
            <w:tcW w:w="3244" w:type="dxa"/>
            <w:tcBorders>
              <w:top w:val="single" w:color="auto" w:sz="4" w:space="0"/>
              <w:left w:val="single" w:color="auto" w:sz="4" w:space="0"/>
              <w:bottom w:val="single" w:color="auto" w:sz="4" w:space="0"/>
              <w:right w:val="single" w:color="auto" w:sz="4" w:space="0"/>
            </w:tcBorders>
            <w:vAlign w:val="center"/>
          </w:tcPr>
          <w:p w14:paraId="01912339">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人文参访 | 国际奥林匹克博物馆</w:t>
            </w:r>
          </w:p>
          <w:p w14:paraId="03CB82F8">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 xml:space="preserve">走进世界上最大的奥林匹克竞赛信息中心。通过艺术、文献、影片等向人们展示了从古代希腊到现在的奥林匹克运动的历史，把体育、艺术和奥林匹克精神及文化有机地结合起来 </w:t>
            </w:r>
          </w:p>
          <w:p w14:paraId="54B6F033">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人文参访｜洛桑联邦理工学院</w:t>
            </w:r>
          </w:p>
          <w:p w14:paraId="0BB0819F">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·走进高校感受校园环境</w:t>
            </w:r>
          </w:p>
          <w:p w14:paraId="14913D3F">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w:hAnsi="pingfang sc" w:eastAsia="pingfang sc" w:cs="pingfang sc"/>
                <w:sz w:val="16"/>
                <w:szCs w:val="16"/>
              </w:rPr>
              <w:t>·了解该校历史、专业、学科等</w:t>
            </w:r>
          </w:p>
        </w:tc>
        <w:tc>
          <w:tcPr>
            <w:tcW w:w="2757" w:type="dxa"/>
            <w:tcBorders>
              <w:top w:val="single" w:color="auto" w:sz="4" w:space="0"/>
              <w:left w:val="single" w:color="auto" w:sz="4" w:space="0"/>
              <w:bottom w:val="single" w:color="auto" w:sz="4" w:space="0"/>
              <w:right w:val="single" w:color="auto" w:sz="4" w:space="0"/>
            </w:tcBorders>
            <w:vAlign w:val="center"/>
          </w:tcPr>
          <w:p w14:paraId="65853E63">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调研参访 | “瑞士的里维埃拉”蒙特勒</w:t>
            </w:r>
          </w:p>
          <w:p w14:paraId="7E8197BB">
            <w:pPr>
              <w:autoSpaceDE w:val="0"/>
              <w:autoSpaceDN w:val="0"/>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 xml:space="preserve">瑞士沃州的湖滨小镇，位于烟波浩渺的日内瓦湖东岸，与法国依云小镇遥遥相望，以气候舒适的度假胜地闻名 </w:t>
            </w:r>
          </w:p>
          <w:p w14:paraId="6AE15874">
            <w:pPr>
              <w:autoSpaceDE w:val="0"/>
              <w:autoSpaceDN w:val="0"/>
              <w:adjustRightInd w:val="0"/>
              <w:snapToGrid w:val="0"/>
              <w:jc w:val="center"/>
              <w:rPr>
                <w:rFonts w:ascii="PingFang SC Semibold" w:hAnsi="PingFang SC Semibold" w:eastAsia="PingFang SC Semibold" w:cs="PingFang SC Semibold"/>
                <w:b/>
                <w:bCs/>
                <w:sz w:val="16"/>
                <w:szCs w:val="16"/>
              </w:rPr>
            </w:pPr>
            <w:r>
              <w:rPr>
                <w:rFonts w:hint="eastAsia" w:ascii="PingFang SC Semibold" w:hAnsi="PingFang SC Semibold" w:eastAsia="PingFang SC Semibold" w:cs="PingFang SC Semibold"/>
                <w:b/>
                <w:bCs/>
                <w:sz w:val="16"/>
                <w:szCs w:val="16"/>
              </w:rPr>
              <w:t>调研参访 | 西庸古堡</w:t>
            </w:r>
          </w:p>
          <w:p w14:paraId="51D2F8D9">
            <w:pPr>
              <w:adjustRightInd w:val="0"/>
              <w:snapToGrid w:val="0"/>
              <w:jc w:val="center"/>
              <w:rPr>
                <w:rFonts w:ascii="pingfang sc" w:hAnsi="pingfang sc" w:eastAsia="pingfang sc" w:cs="pingfang sc"/>
                <w:sz w:val="16"/>
                <w:szCs w:val="16"/>
              </w:rPr>
            </w:pPr>
            <w:r>
              <w:rPr>
                <w:rFonts w:ascii="pingfang sc" w:hAnsi="pingfang sc" w:eastAsia="pingfang sc" w:cs="pingfang sc"/>
                <w:sz w:val="16"/>
                <w:szCs w:val="16"/>
              </w:rPr>
              <w:t>·</w:t>
            </w:r>
            <w:r>
              <w:rPr>
                <w:rFonts w:hint="eastAsia" w:ascii="pingfang sc" w:hAnsi="pingfang sc" w:eastAsia="pingfang sc" w:cs="pingfang sc"/>
                <w:sz w:val="16"/>
                <w:szCs w:val="16"/>
              </w:rPr>
              <w:t>重温英国诗人拜伦《西庸的囚徒》</w:t>
            </w:r>
          </w:p>
          <w:p w14:paraId="658C5468">
            <w:pPr>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·探索城堡外部独特的天然山湖风光</w:t>
            </w:r>
          </w:p>
          <w:p w14:paraId="33F70688">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·走进城堡，调研内部结构及防御设施</w:t>
            </w:r>
          </w:p>
        </w:tc>
        <w:tc>
          <w:tcPr>
            <w:tcW w:w="1917" w:type="dxa"/>
            <w:tcBorders>
              <w:top w:val="single" w:color="auto" w:sz="4" w:space="0"/>
              <w:left w:val="single" w:color="auto" w:sz="4" w:space="0"/>
              <w:bottom w:val="single" w:color="auto" w:sz="4" w:space="0"/>
              <w:right w:val="single" w:color="auto" w:sz="4" w:space="0"/>
            </w:tcBorders>
            <w:vAlign w:val="center"/>
          </w:tcPr>
          <w:p w14:paraId="14DB55B9">
            <w:pPr>
              <w:autoSpaceDE w:val="0"/>
              <w:autoSpaceDN w:val="0"/>
              <w:adjustRightInd w:val="0"/>
              <w:snapToGrid w:val="0"/>
              <w:jc w:val="center"/>
              <w:rPr>
                <w:rFonts w:ascii="pingfang sc" w:hAnsi="pingfang sc" w:eastAsia="pingfang sc" w:cs="pingfang sc"/>
                <w:b/>
                <w:bCs/>
                <w:sz w:val="16"/>
                <w:szCs w:val="16"/>
              </w:rPr>
            </w:pPr>
            <w:r>
              <w:rPr>
                <w:rFonts w:hint="eastAsia" w:ascii="pingfang sc" w:hAnsi="pingfang sc" w:eastAsia="pingfang sc" w:cs="pingfang sc"/>
                <w:b/>
                <w:bCs/>
                <w:sz w:val="16"/>
                <w:szCs w:val="16"/>
              </w:rPr>
              <w:t>欢送晚餐</w:t>
            </w:r>
          </w:p>
          <w:p w14:paraId="11495699">
            <w:pPr>
              <w:autoSpaceDE w:val="0"/>
              <w:autoSpaceDN w:val="0"/>
              <w:adjustRightInd w:val="0"/>
              <w:snapToGrid w:val="0"/>
              <w:jc w:val="center"/>
              <w:rPr>
                <w:rFonts w:ascii="pingfang sc" w:hAnsi="pingfang sc" w:eastAsia="pingfang sc" w:cs="pingfang sc"/>
                <w:sz w:val="16"/>
                <w:szCs w:val="16"/>
              </w:rPr>
            </w:pPr>
            <w:r>
              <w:rPr>
                <w:rFonts w:hint="eastAsia" w:ascii="pingfang sc" w:hAnsi="pingfang sc" w:eastAsia="pingfang sc" w:cs="pingfang sc"/>
                <w:sz w:val="16"/>
                <w:szCs w:val="16"/>
              </w:rPr>
              <w:t>·重温一路的知识、见识与友谊</w:t>
            </w:r>
          </w:p>
          <w:p w14:paraId="0F93A71F">
            <w:pPr>
              <w:autoSpaceDE w:val="0"/>
              <w:autoSpaceDN w:val="0"/>
              <w:adjustRightInd w:val="0"/>
              <w:snapToGrid w:val="0"/>
              <w:jc w:val="center"/>
              <w:rPr>
                <w:rFonts w:ascii="pingfang sc" w:hAnsi="pingfang sc" w:eastAsia="pingfang sc" w:cs="pingfang sc"/>
                <w:sz w:val="16"/>
                <w:szCs w:val="16"/>
                <w:lang w:eastAsia="zh-Hans"/>
              </w:rPr>
            </w:pPr>
            <w:r>
              <w:rPr>
                <w:rFonts w:hint="eastAsia" w:ascii="pingfang sc" w:hAnsi="pingfang sc" w:eastAsia="pingfang sc" w:cs="pingfang sc"/>
                <w:sz w:val="16"/>
                <w:szCs w:val="16"/>
              </w:rPr>
              <w:t>·团队氛围升华</w:t>
            </w:r>
          </w:p>
        </w:tc>
      </w:tr>
      <w:tr w14:paraId="4BBC563E">
        <w:trPr>
          <w:trHeight w:val="632" w:hRule="atLeast"/>
        </w:trPr>
        <w:tc>
          <w:tcPr>
            <w:tcW w:w="559" w:type="dxa"/>
            <w:tcBorders>
              <w:top w:val="single" w:color="auto" w:sz="4" w:space="0"/>
              <w:left w:val="single" w:color="auto" w:sz="4" w:space="0"/>
              <w:bottom w:val="single" w:color="auto" w:sz="4" w:space="0"/>
              <w:right w:val="single" w:color="auto" w:sz="4" w:space="0"/>
            </w:tcBorders>
            <w:vAlign w:val="center"/>
          </w:tcPr>
          <w:p w14:paraId="24F4CB10">
            <w:pPr>
              <w:autoSpaceDE w:val="0"/>
              <w:autoSpaceDN w:val="0"/>
              <w:adjustRightInd w:val="0"/>
              <w:snapToGrid w:val="0"/>
              <w:jc w:val="center"/>
              <w:rPr>
                <w:rFonts w:ascii="Times New Roman" w:hAnsi="Times New Roman" w:eastAsia="PingFang SC Regular" w:cs="Times New Roman"/>
                <w:b/>
                <w:bCs/>
                <w:sz w:val="16"/>
                <w:szCs w:val="16"/>
              </w:rPr>
            </w:pPr>
            <w:r>
              <w:rPr>
                <w:rFonts w:ascii="Times New Roman" w:hAnsi="Times New Roman" w:eastAsia="PingFang SC Regular" w:cs="Times New Roman"/>
                <w:b/>
                <w:bCs/>
                <w:sz w:val="16"/>
                <w:szCs w:val="16"/>
                <w:lang w:eastAsia="zh-Hans"/>
              </w:rPr>
              <w:t>D1</w:t>
            </w:r>
            <w:r>
              <w:rPr>
                <w:rFonts w:ascii="Times New Roman" w:hAnsi="Times New Roman" w:eastAsia="PingFang SC Regular" w:cs="Times New Roman"/>
                <w:b/>
                <w:bCs/>
                <w:sz w:val="16"/>
                <w:szCs w:val="16"/>
              </w:rPr>
              <w:t>5</w:t>
            </w:r>
          </w:p>
          <w:p w14:paraId="49ED566D">
            <w:pPr>
              <w:autoSpaceDE w:val="0"/>
              <w:autoSpaceDN w:val="0"/>
              <w:adjustRightInd w:val="0"/>
              <w:snapToGrid w:val="0"/>
              <w:jc w:val="center"/>
              <w:rPr>
                <w:rFonts w:ascii="Times New Roman" w:hAnsi="Times New Roman" w:eastAsia="PingFang SC Regular" w:cs="Times New Roman"/>
                <w:b/>
                <w:bCs/>
                <w:sz w:val="16"/>
                <w:szCs w:val="16"/>
                <w:lang w:eastAsia="zh-Hans"/>
              </w:rPr>
            </w:pPr>
            <w:r>
              <w:rPr>
                <w:rFonts w:ascii="Times New Roman" w:hAnsi="Times New Roman" w:eastAsia="PingFang SC Regular" w:cs="Times New Roman"/>
                <w:b/>
                <w:bCs/>
                <w:sz w:val="16"/>
                <w:szCs w:val="16"/>
                <w:lang w:eastAsia="zh-Hans"/>
              </w:rPr>
              <w:t>飞行日</w:t>
            </w:r>
          </w:p>
        </w:tc>
        <w:tc>
          <w:tcPr>
            <w:tcW w:w="7918" w:type="dxa"/>
            <w:gridSpan w:val="3"/>
            <w:tcBorders>
              <w:top w:val="single" w:color="auto" w:sz="4" w:space="0"/>
              <w:left w:val="single" w:color="auto" w:sz="4" w:space="0"/>
              <w:bottom w:val="single" w:color="auto" w:sz="4" w:space="0"/>
              <w:right w:val="single" w:color="auto" w:sz="4" w:space="0"/>
            </w:tcBorders>
            <w:vAlign w:val="center"/>
          </w:tcPr>
          <w:p w14:paraId="721A3B6C">
            <w:pPr>
              <w:autoSpaceDE w:val="0"/>
              <w:autoSpaceDN w:val="0"/>
              <w:adjustRightInd w:val="0"/>
              <w:snapToGrid w:val="0"/>
              <w:jc w:val="center"/>
              <w:rPr>
                <w:rFonts w:ascii="pingfang sc" w:hAnsi="pingfang sc" w:eastAsia="pingfang sc" w:cs="pingfang sc"/>
                <w:sz w:val="16"/>
                <w:szCs w:val="16"/>
                <w:lang w:eastAsia="zh-Hans"/>
              </w:rPr>
            </w:pPr>
            <w:r>
              <w:rPr>
                <w:rFonts w:hint="eastAsia" w:ascii="pingfang sc" w:hAnsi="pingfang sc" w:eastAsia="pingfang sc" w:cs="pingfang sc"/>
                <w:sz w:val="16"/>
                <w:szCs w:val="16"/>
                <w:lang w:eastAsia="zh-Hans"/>
              </w:rPr>
              <w:t xml:space="preserve">·酒店早餐 </w:t>
            </w:r>
          </w:p>
          <w:p w14:paraId="22096E96">
            <w:pPr>
              <w:autoSpaceDE w:val="0"/>
              <w:autoSpaceDN w:val="0"/>
              <w:adjustRightInd w:val="0"/>
              <w:snapToGrid w:val="0"/>
              <w:jc w:val="center"/>
              <w:rPr>
                <w:rFonts w:ascii="pingfang sc" w:hAnsi="pingfang sc" w:eastAsia="pingfang sc" w:cs="pingfang sc"/>
                <w:sz w:val="16"/>
                <w:szCs w:val="16"/>
                <w:lang w:eastAsia="zh-Hans"/>
              </w:rPr>
            </w:pPr>
            <w:r>
              <w:rPr>
                <w:rFonts w:ascii="pingfang sc" w:hAnsi="pingfang sc" w:eastAsia="pingfang sc" w:cs="pingfang sc"/>
                <w:sz w:val="16"/>
                <w:szCs w:val="16"/>
                <w:lang w:eastAsia="zh-Hans"/>
              </w:rPr>
              <w:t xml:space="preserve"> </w:t>
            </w:r>
            <w:r>
              <w:rPr>
                <w:rFonts w:hint="eastAsia" w:ascii="pingfang sc" w:hAnsi="pingfang sc" w:eastAsia="pingfang sc" w:cs="pingfang sc"/>
                <w:sz w:val="16"/>
                <w:szCs w:val="16"/>
                <w:lang w:eastAsia="zh-Hans"/>
              </w:rPr>
              <w:t>·收拾行李、退房</w:t>
            </w:r>
          </w:p>
          <w:p w14:paraId="00F00CEE">
            <w:pPr>
              <w:autoSpaceDE w:val="0"/>
              <w:autoSpaceDN w:val="0"/>
              <w:adjustRightInd w:val="0"/>
              <w:snapToGrid w:val="0"/>
              <w:jc w:val="center"/>
              <w:rPr>
                <w:rFonts w:ascii="pingfang sc" w:hAnsi="pingfang sc" w:eastAsia="pingfang sc" w:cs="pingfang sc"/>
                <w:sz w:val="16"/>
                <w:szCs w:val="16"/>
                <w:lang w:eastAsia="zh-Hans"/>
              </w:rPr>
            </w:pPr>
            <w:r>
              <w:rPr>
                <w:rFonts w:ascii="pingfang sc" w:hAnsi="pingfang sc" w:eastAsia="pingfang sc" w:cs="pingfang sc"/>
                <w:sz w:val="16"/>
                <w:szCs w:val="16"/>
                <w:lang w:eastAsia="zh-Hans"/>
              </w:rPr>
              <w:t>·</w:t>
            </w:r>
            <w:r>
              <w:rPr>
                <w:rFonts w:hint="eastAsia" w:ascii="pingfang sc" w:hAnsi="pingfang sc" w:eastAsia="pingfang sc" w:cs="pingfang sc"/>
                <w:sz w:val="16"/>
                <w:szCs w:val="16"/>
                <w:lang w:eastAsia="zh-Hans"/>
              </w:rPr>
              <w:t>前往机场</w:t>
            </w:r>
          </w:p>
          <w:p w14:paraId="7C49244D">
            <w:pPr>
              <w:autoSpaceDE w:val="0"/>
              <w:autoSpaceDN w:val="0"/>
              <w:adjustRightInd w:val="0"/>
              <w:snapToGrid w:val="0"/>
              <w:jc w:val="center"/>
              <w:rPr>
                <w:rFonts w:ascii="pingfang sc" w:hAnsi="pingfang sc" w:eastAsia="pingfang sc" w:cs="pingfang sc"/>
                <w:sz w:val="16"/>
                <w:szCs w:val="16"/>
                <w:lang w:eastAsia="zh-Hans"/>
              </w:rPr>
            </w:pPr>
            <w:r>
              <w:rPr>
                <w:rFonts w:hint="eastAsia" w:ascii="pingfang sc" w:hAnsi="pingfang sc" w:eastAsia="pingfang sc" w:cs="pingfang sc"/>
                <w:sz w:val="16"/>
                <w:szCs w:val="16"/>
              </w:rPr>
              <w:t>·搭乘飞机回国</w:t>
            </w:r>
          </w:p>
        </w:tc>
      </w:tr>
    </w:tbl>
    <w:p w14:paraId="4A03F3FC">
      <w:pPr>
        <w:jc w:val="left"/>
      </w:pPr>
      <w:r>
        <w:rPr>
          <w:rFonts w:hint="eastAsia" w:ascii="微软雅黑" w:hAnsi="微软雅黑" w:eastAsia="微软雅黑" w:cs="微软雅黑"/>
          <w:b/>
          <w:bCs/>
          <w:color w:val="000000"/>
          <w:sz w:val="16"/>
          <w:szCs w:val="16"/>
        </w:rPr>
        <w:t>注：以上日程安排仅供参考。授课国际组织及</w:t>
      </w:r>
      <w:r>
        <w:rPr>
          <w:rFonts w:hint="eastAsia" w:ascii="微软雅黑" w:hAnsi="微软雅黑" w:eastAsia="微软雅黑" w:cs="微软雅黑"/>
          <w:b/>
          <w:bCs/>
          <w:color w:val="000000"/>
          <w:sz w:val="16"/>
          <w:szCs w:val="16"/>
          <w:lang w:eastAsia="zh-Hans"/>
        </w:rPr>
        <w:t>参访机构</w:t>
      </w:r>
      <w:r>
        <w:rPr>
          <w:rFonts w:hint="eastAsia" w:ascii="微软雅黑" w:hAnsi="微软雅黑" w:eastAsia="微软雅黑" w:cs="微软雅黑"/>
          <w:b/>
          <w:bCs/>
          <w:color w:val="000000"/>
          <w:sz w:val="16"/>
          <w:szCs w:val="16"/>
        </w:rPr>
        <w:t>可能会因联合国</w:t>
      </w:r>
      <w:r>
        <w:rPr>
          <w:rFonts w:hint="eastAsia" w:ascii="微软雅黑" w:hAnsi="微软雅黑" w:eastAsia="微软雅黑" w:cs="微软雅黑"/>
          <w:b/>
          <w:bCs/>
          <w:color w:val="000000"/>
          <w:sz w:val="16"/>
          <w:szCs w:val="16"/>
          <w:lang w:eastAsia="zh-Hans"/>
        </w:rPr>
        <w:t>国际组织</w:t>
      </w:r>
      <w:r>
        <w:rPr>
          <w:rFonts w:hint="eastAsia" w:ascii="微软雅黑" w:hAnsi="微软雅黑" w:eastAsia="微软雅黑" w:cs="微软雅黑"/>
          <w:b/>
          <w:bCs/>
          <w:color w:val="000000"/>
          <w:sz w:val="16"/>
          <w:szCs w:val="16"/>
        </w:rPr>
        <w:t>安排进行</w:t>
      </w:r>
      <w:r>
        <w:rPr>
          <w:rFonts w:hint="eastAsia" w:ascii="微软雅黑" w:hAnsi="微软雅黑" w:eastAsia="微软雅黑" w:cs="微软雅黑"/>
          <w:b/>
          <w:bCs/>
          <w:color w:val="000000"/>
          <w:sz w:val="16"/>
          <w:szCs w:val="16"/>
          <w:lang w:eastAsia="zh-Hans"/>
        </w:rPr>
        <w:t>调整</w:t>
      </w:r>
      <w:r>
        <w:rPr>
          <w:rFonts w:hint="eastAsia" w:ascii="微软雅黑" w:hAnsi="微软雅黑" w:eastAsia="微软雅黑" w:cs="微软雅黑"/>
          <w:b/>
          <w:bCs/>
          <w:color w:val="000000"/>
          <w:sz w:val="16"/>
          <w:szCs w:val="16"/>
        </w:rPr>
        <w:t>，以主办方最终通知</w:t>
      </w:r>
      <w:r>
        <w:rPr>
          <w:rFonts w:hint="eastAsia" w:ascii="微软雅黑" w:hAnsi="微软雅黑" w:eastAsia="微软雅黑" w:cs="微软雅黑"/>
          <w:b/>
          <w:bCs/>
          <w:color w:val="000000"/>
          <w:sz w:val="16"/>
          <w:szCs w:val="16"/>
          <w:lang w:eastAsia="zh-Hans"/>
        </w:rPr>
        <w:t>和执行</w:t>
      </w:r>
      <w:r>
        <w:rPr>
          <w:rFonts w:hint="eastAsia" w:ascii="微软雅黑" w:hAnsi="微软雅黑" w:eastAsia="微软雅黑" w:cs="微软雅黑"/>
          <w:b/>
          <w:bCs/>
          <w:color w:val="000000"/>
          <w:sz w:val="16"/>
          <w:szCs w:val="16"/>
        </w:rPr>
        <w:t>为准</w:t>
      </w:r>
      <w:r>
        <w:rPr>
          <w:rFonts w:ascii="微软雅黑" w:hAnsi="微软雅黑" w:eastAsia="微软雅黑" w:cs="微软雅黑"/>
          <w:b/>
          <w:bCs/>
          <w:color w:val="000000"/>
          <w:sz w:val="16"/>
          <w:szCs w:val="16"/>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微软雅黑 Semibold">
    <w:altName w:val="汉仪中黑KW"/>
    <w:panose1 w:val="00000000000000000000"/>
    <w:charset w:val="86"/>
    <w:family w:val="swiss"/>
    <w:pitch w:val="default"/>
    <w:sig w:usb0="00000000" w:usb1="00000000" w:usb2="00000016" w:usb3="00000000" w:csb0="0004019F" w:csb1="00000000"/>
  </w:font>
  <w:font w:name="仿宋_GB2312">
    <w:altName w:val="方正仿宋_GBK"/>
    <w:panose1 w:val="00000000000000000000"/>
    <w:charset w:val="86"/>
    <w:family w:val="modern"/>
    <w:pitch w:val="default"/>
    <w:sig w:usb0="00000000" w:usb1="00000000" w:usb2="00000000" w:usb3="00000000" w:csb0="00040000" w:csb1="00000000"/>
  </w:font>
  <w:font w:name="PingFang SC Regular">
    <w:panose1 w:val="020B0400000000000000"/>
    <w:charset w:val="86"/>
    <w:family w:val="auto"/>
    <w:pitch w:val="default"/>
    <w:sig w:usb0="A00002FF" w:usb1="7ACFFDFB" w:usb2="00000017" w:usb3="00000000" w:csb0="00040001" w:csb1="00000000"/>
  </w:font>
  <w:font w:name="pingfang sc">
    <w:panose1 w:val="020B0400000000000000"/>
    <w:charset w:val="86"/>
    <w:family w:val="auto"/>
    <w:pitch w:val="default"/>
    <w:sig w:usb0="A00002FF" w:usb1="7ACFFDFB" w:usb2="00000017" w:usb3="00000000" w:csb0="00040001" w:csb1="00000000"/>
  </w:font>
  <w:font w:name="PingFang SC Semibold">
    <w:panose1 w:val="020B0400000000000000"/>
    <w:charset w:val="86"/>
    <w:family w:val="auto"/>
    <w:pitch w:val="default"/>
    <w:sig w:usb0="A00002FF" w:usb1="7ACFFDFB" w:usb2="00000017"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F3E23"/>
    <w:rsid w:val="7FBF3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ind w:left="318"/>
      <w:outlineLvl w:val="0"/>
    </w:pPr>
    <w:rPr>
      <w:rFonts w:ascii="微软雅黑 Semibold" w:hAnsi="微软雅黑 Semibold" w:eastAsia="微软雅黑 Semibold" w:cs="微软雅黑 Semibold"/>
      <w:sz w:val="36"/>
      <w:szCs w:val="36"/>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2026-09-14T09:31:00Z</dcterms:created>
  <dc:creator>禾晞</dc:creator>
  <cp:lastModifiedBy>禾晞</cp:lastModifiedBy>
  <dcterms:modified xsi:type="dcterms:W3CDTF">2026-09-14T09:31:29Z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8ED443BA271439C65A4EA76AA9E946C5_41</vt:lpwstr>
  </property>
</Properties>
</file>