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A6944">
      <w:pPr>
        <w:rPr>
          <w:rFonts w:ascii="微软雅黑" w:hAnsi="微软雅黑" w:eastAsia="微软雅黑" w:cs="微软雅黑"/>
          <w:color w:val="333333"/>
          <w:sz w:val="18"/>
          <w:szCs w:val="18"/>
          <w:shd w:val="clear" w:color="auto" w:fill="FFFFFF"/>
        </w:rPr>
      </w:pPr>
    </w:p>
    <w:p w14:paraId="4CCD5862">
      <w:pPr>
        <w:pStyle w:val="2"/>
        <w:adjustRightInd w:val="0"/>
        <w:snapToGrid w:val="0"/>
        <w:spacing w:after="120" w:line="440" w:lineRule="atLeast"/>
        <w:ind w:left="0"/>
        <w:rPr>
          <w:rFonts w:ascii="仿宋_GB2312" w:hAnsi="Calibri" w:eastAsia="仿宋_GB2312" w:cs="宋体"/>
          <w:b/>
          <w:bCs/>
          <w:sz w:val="28"/>
          <w:szCs w:val="32"/>
        </w:rPr>
      </w:pPr>
      <w:bookmarkStart w:id="0" w:name="_GoBack"/>
      <w:r>
        <w:rPr>
          <w:rFonts w:hint="eastAsia" w:ascii="仿宋_GB2312" w:hAnsi="Calibri" w:eastAsia="仿宋_GB2312" w:cs="宋体"/>
          <w:b/>
          <w:bCs/>
          <w:sz w:val="28"/>
          <w:szCs w:val="32"/>
        </w:rPr>
        <w:t>附件1</w:t>
      </w:r>
      <w:r>
        <w:rPr>
          <w:rFonts w:hint="eastAsia" w:ascii="仿宋_GB2312" w:hAnsi="Calibri" w:eastAsia="仿宋_GB2312" w:cs="宋体"/>
          <w:b/>
          <w:bCs/>
          <w:sz w:val="28"/>
          <w:szCs w:val="32"/>
          <w:lang w:eastAsia="zh-Hans"/>
        </w:rPr>
        <w:t>.“</w:t>
      </w:r>
      <w:r>
        <w:rPr>
          <w:rFonts w:hint="eastAsia" w:ascii="仿宋_GB2312" w:hAnsi="Calibri" w:eastAsia="仿宋_GB2312" w:cs="宋体"/>
          <w:b/>
          <w:bCs/>
          <w:sz w:val="28"/>
          <w:szCs w:val="32"/>
        </w:rPr>
        <w:t>新青年·联合国纽约总部实地交流项目</w:t>
      </w:r>
      <w:r>
        <w:rPr>
          <w:rFonts w:hint="eastAsia" w:ascii="仿宋_GB2312" w:hAnsi="Calibri" w:eastAsia="仿宋_GB2312" w:cs="宋体"/>
          <w:b/>
          <w:bCs/>
          <w:sz w:val="28"/>
          <w:szCs w:val="32"/>
          <w:lang w:eastAsia="zh-Hans"/>
        </w:rPr>
        <w:t>”行程</w:t>
      </w:r>
      <w:r>
        <w:rPr>
          <w:rFonts w:hint="eastAsia" w:ascii="仿宋_GB2312" w:hAnsi="Calibri" w:eastAsia="仿宋_GB2312" w:cs="宋体"/>
          <w:b/>
          <w:bCs/>
          <w:sz w:val="28"/>
          <w:szCs w:val="32"/>
        </w:rPr>
        <w:t>示例单</w:t>
      </w:r>
    </w:p>
    <w:bookmarkEnd w:id="0"/>
    <w:tbl>
      <w:tblPr>
        <w:tblStyle w:val="4"/>
        <w:tblW w:w="8633" w:type="dxa"/>
        <w:tblInd w:w="1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3"/>
        <w:gridCol w:w="5860"/>
      </w:tblGrid>
      <w:tr w14:paraId="1588BF8D">
        <w:tc>
          <w:tcPr>
            <w:tcW w:w="8633" w:type="dxa"/>
            <w:gridSpan w:val="2"/>
          </w:tcPr>
          <w:p w14:paraId="546B3695"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20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lang w:eastAsia="zh-Hans"/>
              </w:rPr>
              <w:t>先导课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Cs w:val="21"/>
                <w:lang w:eastAsia="zh-Hans"/>
              </w:rPr>
              <w:t>（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lang w:eastAsia="zh-Hans"/>
              </w:rPr>
              <w:t>线上形式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 w:val="22"/>
                <w:szCs w:val="22"/>
                <w:lang w:eastAsia="zh-Hans"/>
              </w:rPr>
              <w:t>）</w:t>
            </w:r>
          </w:p>
        </w:tc>
      </w:tr>
      <w:tr w14:paraId="2ECC6474">
        <w:tc>
          <w:tcPr>
            <w:tcW w:w="2773" w:type="dxa"/>
          </w:tcPr>
          <w:p w14:paraId="15B3048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  <w:t>时间</w:t>
            </w:r>
          </w:p>
        </w:tc>
        <w:tc>
          <w:tcPr>
            <w:tcW w:w="5860" w:type="dxa"/>
          </w:tcPr>
          <w:p w14:paraId="4236EF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  <w:t>课程内容</w:t>
            </w:r>
          </w:p>
        </w:tc>
      </w:tr>
      <w:tr w14:paraId="79869974">
        <w:trPr>
          <w:trHeight w:val="529" w:hRule="atLeast"/>
        </w:trPr>
        <w:tc>
          <w:tcPr>
            <w:tcW w:w="2773" w:type="dxa"/>
            <w:vAlign w:val="center"/>
          </w:tcPr>
          <w:p w14:paraId="01E594D6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D1</w:t>
            </w:r>
          </w:p>
          <w:p w14:paraId="274E19D1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19:00</w:t>
            </w:r>
          </w:p>
        </w:tc>
        <w:tc>
          <w:tcPr>
            <w:tcW w:w="5860" w:type="dxa"/>
            <w:vAlign w:val="center"/>
          </w:tcPr>
          <w:p w14:paraId="2030DD3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行前说明会：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项目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介绍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、日程安排、注意事项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等</w:t>
            </w:r>
          </w:p>
        </w:tc>
      </w:tr>
      <w:tr w14:paraId="7896595D">
        <w:trPr>
          <w:trHeight w:val="672" w:hRule="atLeast"/>
        </w:trPr>
        <w:tc>
          <w:tcPr>
            <w:tcW w:w="2773" w:type="dxa"/>
            <w:vAlign w:val="center"/>
          </w:tcPr>
          <w:p w14:paraId="5211D1C4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D2</w:t>
            </w:r>
          </w:p>
          <w:p w14:paraId="4F3C1457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sz w:val="18"/>
                <w:szCs w:val="20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 xml:space="preserve">19:00 </w:t>
            </w:r>
          </w:p>
        </w:tc>
        <w:tc>
          <w:tcPr>
            <w:tcW w:w="5860" w:type="dxa"/>
            <w:vAlign w:val="center"/>
          </w:tcPr>
          <w:p w14:paraId="1774AB1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  <w:lang w:eastAsia="zh-Hans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了解联合国：联合国使命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、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组织构架</w:t>
            </w:r>
          </w:p>
          <w:p w14:paraId="093947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20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·2015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—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2030年可持续发展议程</w:t>
            </w:r>
          </w:p>
        </w:tc>
      </w:tr>
      <w:tr w14:paraId="6593DA27">
        <w:trPr>
          <w:trHeight w:val="457" w:hRule="atLeast"/>
        </w:trPr>
        <w:tc>
          <w:tcPr>
            <w:tcW w:w="2773" w:type="dxa"/>
            <w:vAlign w:val="center"/>
          </w:tcPr>
          <w:p w14:paraId="69CEF6F5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D3</w:t>
            </w:r>
          </w:p>
          <w:p w14:paraId="50F5AD1E">
            <w:pPr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sz w:val="18"/>
                <w:szCs w:val="20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 xml:space="preserve">19:00 </w:t>
            </w:r>
          </w:p>
        </w:tc>
        <w:tc>
          <w:tcPr>
            <w:tcW w:w="5860" w:type="dxa"/>
            <w:vAlign w:val="center"/>
          </w:tcPr>
          <w:p w14:paraId="3DE446E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20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·全球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模拟联合国大会会前培训：规则导入</w:t>
            </w:r>
          </w:p>
        </w:tc>
      </w:tr>
      <w:tr w14:paraId="22CCB324">
        <w:trPr>
          <w:trHeight w:val="428" w:hRule="atLeast"/>
        </w:trPr>
        <w:tc>
          <w:tcPr>
            <w:tcW w:w="2773" w:type="dxa"/>
            <w:vAlign w:val="center"/>
          </w:tcPr>
          <w:p w14:paraId="6FB64947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D4</w:t>
            </w:r>
          </w:p>
          <w:p w14:paraId="79EFE90A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 xml:space="preserve">19:00 </w:t>
            </w:r>
          </w:p>
        </w:tc>
        <w:tc>
          <w:tcPr>
            <w:tcW w:w="5860" w:type="dxa"/>
            <w:vAlign w:val="center"/>
          </w:tcPr>
          <w:p w14:paraId="58A646B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·全球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模拟联合国大会会前培训：会议学术调研</w:t>
            </w:r>
          </w:p>
        </w:tc>
      </w:tr>
      <w:tr w14:paraId="11DACEAD">
        <w:trPr>
          <w:trHeight w:val="489" w:hRule="atLeast"/>
        </w:trPr>
        <w:tc>
          <w:tcPr>
            <w:tcW w:w="2773" w:type="dxa"/>
            <w:vAlign w:val="center"/>
          </w:tcPr>
          <w:p w14:paraId="6F8D770F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  <w:t>5</w:t>
            </w:r>
          </w:p>
          <w:p w14:paraId="549D70F7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 xml:space="preserve">19:00 </w:t>
            </w:r>
          </w:p>
        </w:tc>
        <w:tc>
          <w:tcPr>
            <w:tcW w:w="5860" w:type="dxa"/>
            <w:vAlign w:val="center"/>
          </w:tcPr>
          <w:p w14:paraId="3134A18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·全球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模拟联合国大会会前培训：立场文件培训</w:t>
            </w:r>
          </w:p>
        </w:tc>
      </w:tr>
      <w:tr w14:paraId="47890397">
        <w:trPr>
          <w:trHeight w:val="489" w:hRule="atLeast"/>
        </w:trPr>
        <w:tc>
          <w:tcPr>
            <w:tcW w:w="2773" w:type="dxa"/>
            <w:vAlign w:val="center"/>
          </w:tcPr>
          <w:p w14:paraId="441FC1DE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  <w:t>6</w:t>
            </w:r>
          </w:p>
          <w:p w14:paraId="48060FA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lang w:eastAsia="zh-Hans"/>
              </w:rPr>
            </w:pPr>
            <w:r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 xml:space="preserve">19:00 </w:t>
            </w:r>
          </w:p>
        </w:tc>
        <w:tc>
          <w:tcPr>
            <w:tcW w:w="5860" w:type="dxa"/>
            <w:vAlign w:val="center"/>
          </w:tcPr>
          <w:p w14:paraId="4B190913">
            <w:pPr>
              <w:tabs>
                <w:tab w:val="left" w:pos="1496"/>
                <w:tab w:val="center" w:pos="2775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" w:cs="Times New Roman"/>
                <w:sz w:val="16"/>
                <w:szCs w:val="16"/>
              </w:rPr>
            </w:pPr>
            <w:r>
              <w:rPr>
                <w:rFonts w:ascii="Times New Roman" w:hAnsi="Times New Roman" w:eastAsia="pingfang sc" w:cs="Times New Roman"/>
                <w:sz w:val="16"/>
                <w:szCs w:val="16"/>
              </w:rPr>
              <w:t>·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全球</w:t>
            </w:r>
            <w:r>
              <w:rPr>
                <w:rFonts w:ascii="Times New Roman" w:hAnsi="Times New Roman" w:eastAsia="pingfang sc" w:cs="Times New Roman"/>
                <w:sz w:val="16"/>
                <w:szCs w:val="16"/>
              </w:rPr>
              <w:t>模拟联合国大会会前培训：会议中的演讲辩论技巧</w:t>
            </w:r>
          </w:p>
        </w:tc>
      </w:tr>
    </w:tbl>
    <w:tbl>
      <w:tblPr>
        <w:tblStyle w:val="3"/>
        <w:tblpPr w:leftFromText="180" w:rightFromText="180" w:vertAnchor="text" w:horzAnchor="page" w:tblpX="1800" w:tblpY="937"/>
        <w:tblOverlap w:val="never"/>
        <w:tblW w:w="5184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4"/>
        <w:gridCol w:w="2993"/>
        <w:gridCol w:w="2996"/>
        <w:gridCol w:w="1651"/>
      </w:tblGrid>
      <w:tr w14:paraId="1DBA6021">
        <w:trPr>
          <w:trHeight w:val="16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0A42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Cs w:val="21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  <w:lang w:eastAsia="zh-Hans"/>
              </w:rPr>
              <w:t>实地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</w:rPr>
              <w:t>形式－美国</w:t>
            </w:r>
            <w:r>
              <w:rPr>
                <w:rFonts w:ascii="PingFang SC Regular" w:hAnsi="PingFang SC Regular" w:eastAsia="PingFang SC Regular" w:cs="PingFang SC Regular"/>
                <w:b/>
                <w:bCs/>
                <w:szCs w:val="21"/>
                <w:lang w:eastAsia="zh-Hans"/>
              </w:rPr>
              <w:t>·</w:t>
            </w:r>
            <w:r>
              <w:rPr>
                <w:rFonts w:hint="eastAsia" w:ascii="PingFang SC Regular" w:hAnsi="PingFang SC Regular" w:eastAsia="PingFang SC Regular" w:cs="PingFang SC Regular"/>
                <w:b/>
                <w:bCs/>
                <w:szCs w:val="21"/>
              </w:rPr>
              <w:t>纽约、费城、华盛顿</w:t>
            </w:r>
          </w:p>
        </w:tc>
      </w:tr>
      <w:tr w14:paraId="1FB50976">
        <w:trPr>
          <w:trHeight w:val="305" w:hRule="atLeast"/>
        </w:trPr>
        <w:tc>
          <w:tcPr>
            <w:tcW w:w="5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059C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  <w:lang w:eastAsia="zh-Hans"/>
              </w:rPr>
              <w:t>行程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711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</w:rPr>
              <w:t>上午（9:00-11:00）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71F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</w:rPr>
              <w:t>下午（14:00-18:00）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087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8"/>
                <w:szCs w:val="18"/>
              </w:rPr>
              <w:t>晚上（18:00-21:00）</w:t>
            </w:r>
          </w:p>
        </w:tc>
      </w:tr>
      <w:tr w14:paraId="44D470C9">
        <w:trPr>
          <w:trHeight w:val="454" w:hRule="atLeast"/>
        </w:trPr>
        <w:tc>
          <w:tcPr>
            <w:tcW w:w="581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F92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7</w:t>
            </w:r>
          </w:p>
          <w:p w14:paraId="291FABC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  <w:lang w:eastAsia="zh-Hans"/>
              </w:rPr>
              <w:t>飞行日</w:t>
            </w:r>
          </w:p>
          <w:p w14:paraId="2B18904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会议注册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DD1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国内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机场集合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至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美国</w:t>
            </w:r>
          </w:p>
          <w:p w14:paraId="3E8995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·抵达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纽约</w:t>
            </w:r>
          </w:p>
          <w:p w14:paraId="1C4AD73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·入住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会议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酒店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、会议注册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42E6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城市调研｜时代广场、第五大道</w:t>
            </w:r>
          </w:p>
          <w:p w14:paraId="15484FD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纽约时代广场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，调研标志性建筑－“世界第一屏”：纳斯达克半圆柱形巨幅屏</w:t>
            </w:r>
          </w:p>
          <w:p w14:paraId="2566C82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·走进第五大道，感受曼哈顿中心地带的商业繁华景象</w:t>
            </w:r>
          </w:p>
          <w:p w14:paraId="1DE215B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国际模拟联合国大会｜开幕式</w:t>
            </w:r>
          </w:p>
          <w:p w14:paraId="448B570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·模拟联合国大会开幕式</w:t>
            </w:r>
          </w:p>
          <w:p w14:paraId="5ADAF6B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·全体会议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71E2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</w:t>
            </w:r>
            <w:r>
              <w:rPr>
                <w:rFonts w:hint="eastAsia" w:ascii="pingfang sc" w:hAnsi="pingfang sc" w:eastAsia="pingfang sc" w:cs="pingfang sc"/>
                <w:b/>
                <w:bCs/>
                <w:sz w:val="16"/>
                <w:szCs w:val="16"/>
              </w:rPr>
              <w:t>准备</w:t>
            </w:r>
          </w:p>
          <w:p w14:paraId="368153F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筹备并出席次日会议</w:t>
            </w:r>
          </w:p>
        </w:tc>
      </w:tr>
      <w:tr w14:paraId="684395AA">
        <w:trPr>
          <w:trHeight w:val="1527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C98E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D8</w:t>
            </w:r>
          </w:p>
          <w:p w14:paraId="18AB520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全球模联大会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C33C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全球模拟联合国大会｜会议培训</w:t>
            </w:r>
          </w:p>
          <w:p w14:paraId="6B50A87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·模拟联合国大会课程培训</w:t>
            </w:r>
          </w:p>
          <w:p w14:paraId="364D3C3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·介绍本次大会的规则</w:t>
            </w:r>
          </w:p>
          <w:p w14:paraId="6B639A0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·学习议题分析方法，收集信息、整理观点、评估不同解决方案等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651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全球模拟联合国大会｜模拟会议I</w:t>
            </w:r>
          </w:p>
          <w:p w14:paraId="5C8590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5DE2D24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D54B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</w:t>
            </w:r>
            <w:r>
              <w:rPr>
                <w:rFonts w:hint="eastAsia" w:ascii="pingfang sc" w:hAnsi="pingfang sc" w:eastAsia="pingfang sc" w:cs="pingfang sc"/>
                <w:b/>
                <w:bCs/>
                <w:sz w:val="16"/>
                <w:szCs w:val="16"/>
              </w:rPr>
              <w:t>准备</w:t>
            </w:r>
          </w:p>
          <w:p w14:paraId="3F74F1A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筹备并出席次日会议</w:t>
            </w:r>
          </w:p>
        </w:tc>
      </w:tr>
      <w:tr w14:paraId="47570F47">
        <w:trPr>
          <w:trHeight w:val="90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E9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9</w:t>
            </w:r>
          </w:p>
          <w:p w14:paraId="55CE802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全球模联大会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C3DF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全球模拟联合国大会｜模拟会议Ⅱ</w:t>
            </w:r>
          </w:p>
          <w:p w14:paraId="398232C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5A6948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2F51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全球模拟联合国大会｜模拟会议Ⅲ</w:t>
            </w:r>
          </w:p>
          <w:p w14:paraId="181B9D6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41E3D28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5374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社交活动</w:t>
            </w:r>
          </w:p>
          <w:p w14:paraId="02E0A37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与不同国家和地区的参会代表们进行社交，感受海外社交文化</w:t>
            </w:r>
          </w:p>
        </w:tc>
      </w:tr>
      <w:tr w14:paraId="3497C04F">
        <w:trPr>
          <w:trHeight w:val="1599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02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10</w:t>
            </w:r>
          </w:p>
          <w:p w14:paraId="5FE614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全球模联大会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E8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国际模拟联合国大会｜模拟会议Ⅳ</w:t>
            </w:r>
          </w:p>
          <w:p w14:paraId="52C5667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4B7BC92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451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国际模拟联合国大会｜模拟会议V</w:t>
            </w:r>
          </w:p>
          <w:p w14:paraId="1DAEF9C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3EEF93C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CB4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全球模拟联合国大会</w:t>
            </w:r>
            <w:r>
              <w:rPr>
                <w:rFonts w:hint="eastAsia" w:ascii="pingfang sc" w:hAnsi="pingfang sc" w:eastAsia="pingfang sc" w:cs="pingfang sc"/>
                <w:b/>
                <w:bCs/>
                <w:sz w:val="16"/>
                <w:szCs w:val="16"/>
              </w:rPr>
              <w:t>准备</w:t>
            </w:r>
          </w:p>
          <w:p w14:paraId="055E58A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筹备并出席次日会议</w:t>
            </w:r>
          </w:p>
        </w:tc>
      </w:tr>
      <w:tr w14:paraId="00409BC1">
        <w:trPr>
          <w:trHeight w:val="1322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CC83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D11</w:t>
            </w:r>
          </w:p>
          <w:p w14:paraId="494AC8A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全球模联大会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E94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国际模拟联合国大会｜模拟会议Ⅵ</w:t>
            </w:r>
          </w:p>
          <w:p w14:paraId="14F675E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·根据议程进行当日会议</w:t>
            </w:r>
          </w:p>
          <w:p w14:paraId="1868E0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·并根据不同议题，各个国家代表按照顺序阐述本国对于所分配议题的看法、已采取的措施以及未来的规划等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BF76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国际模拟联合国大会｜闭幕式</w:t>
            </w:r>
          </w:p>
          <w:p w14:paraId="5EB645E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·大会总结</w:t>
            </w:r>
          </w:p>
          <w:p w14:paraId="7A890D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·颁发奖项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86C5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小组讨论</w:t>
            </w:r>
          </w:p>
          <w:p w14:paraId="44D040A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回顾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学习到的知识与思考</w:t>
            </w:r>
          </w:p>
        </w:tc>
      </w:tr>
      <w:tr w14:paraId="72DBB912">
        <w:trPr>
          <w:trHeight w:val="2218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50DD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12</w:t>
            </w:r>
          </w:p>
          <w:p w14:paraId="529FD8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外交参访</w:t>
            </w:r>
          </w:p>
          <w:p w14:paraId="7729E9F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高校调研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CC1C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·全员离开会议酒店</w:t>
            </w:r>
          </w:p>
          <w:p w14:paraId="7830EA4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外交参访</w:t>
            </w:r>
            <w:r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lang w:eastAsia="zh-Hans"/>
              </w:rPr>
              <w:t>｜</w:t>
            </w: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联合国人口基金会</w:t>
            </w:r>
          </w:p>
          <w:p w14:paraId="456E569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·走进联合国人口基金</w:t>
            </w:r>
          </w:p>
          <w:p w14:paraId="3BA761C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·了解其宗旨与使命、历史背景、主要活动与全球影响力</w:t>
            </w:r>
          </w:p>
          <w:p w14:paraId="7839204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·通过数据分析和案例研究，评估联合国人口基金在全球范围内的影响力和成效</w:t>
            </w:r>
          </w:p>
          <w:p w14:paraId="0A2C2F7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</w:rPr>
              <w:t>·－联合国人口基金现任</w:t>
            </w:r>
            <w:r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  <w:t>官员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9F22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城市调研｜中央车站</w:t>
            </w:r>
          </w:p>
          <w:p w14:paraId="788AC85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·调研中央车站的宏伟外观，考察其建筑设计特点，如拱门、穹顶、雕塑等</w:t>
            </w:r>
          </w:p>
          <w:p w14:paraId="6A5258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了解中央车站在电影、文学等方面的文化影响力</w:t>
            </w:r>
          </w:p>
          <w:p w14:paraId="72A6F4F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高校调研｜哥伦比亚大学</w:t>
            </w:r>
          </w:p>
          <w:p w14:paraId="6A7ECE5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・走进哥大，了解建校历史、发展脉络、办学理念和特色学科，感受校园环境等</w:t>
            </w:r>
          </w:p>
          <w:p w14:paraId="16FF0B7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·感受纽约大学的学术研究、人才培养等方面的模式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EEC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小组讨论</w:t>
            </w:r>
          </w:p>
          <w:p w14:paraId="07D1791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回顾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学习到的知识与思考</w:t>
            </w:r>
          </w:p>
        </w:tc>
      </w:tr>
      <w:tr w14:paraId="42EFDC44">
        <w:trPr>
          <w:trHeight w:val="1514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494C8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13</w:t>
            </w:r>
          </w:p>
          <w:p w14:paraId="638E9A9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</w:t>
            </w:r>
          </w:p>
        </w:tc>
        <w:tc>
          <w:tcPr>
            <w:tcW w:w="34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5866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城市调研｜华尔街、纽约证券交易所、铜牛、自由女神像、911遗址博物馆、帝国大厦</w:t>
            </w:r>
          </w:p>
          <w:p w14:paraId="1D86547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纽约证券交易所与华尔街铜牛相邻，共同构成了华尔街金融区的核心景观</w:t>
            </w:r>
          </w:p>
          <w:p w14:paraId="74E7D0B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自由女神像屹立在纽约港的入口处，与华尔街遥相呼应，共同展现着纽约这座城市的独特魅力</w:t>
            </w:r>
          </w:p>
          <w:p w14:paraId="79AABA1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·走进9・11国家纪念博物馆，提醒着人们珍惜和平，共同反对恐怖主义</w:t>
            </w:r>
          </w:p>
          <w:p w14:paraId="1375FC3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·进入帝国大厦，感受纽约市的标志性建筑之一，了解其建筑背景及历史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DA11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小组讨论</w:t>
            </w:r>
          </w:p>
          <w:p w14:paraId="4DABF5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回顾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学习到的知识与思考</w:t>
            </w:r>
          </w:p>
        </w:tc>
      </w:tr>
      <w:tr w14:paraId="3EB0BCDA">
        <w:trPr>
          <w:trHeight w:val="1727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92D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14</w:t>
            </w:r>
          </w:p>
          <w:p w14:paraId="3792815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75E7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高校调研｜纽约大学</w:t>
            </w:r>
          </w:p>
          <w:p w14:paraId="7A62F18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・调研纽约大学，了解建校历史、发展脉络、办学理念和特色学科，感受校园环境等</w:t>
            </w:r>
          </w:p>
          <w:p w14:paraId="020D6B2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·感受纽约大学的学术研究、人才培养等方面的模式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1BC8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  <w:lang w:eastAsia="zh-Hans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 | 大都会博物馆</w:t>
            </w:r>
          </w:p>
          <w:p w14:paraId="69E3B11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·走进这座世界上最大的艺术博物馆之一</w:t>
            </w:r>
          </w:p>
          <w:p w14:paraId="02F918B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·它不仅是美国的文化瑰宝，也是全球艺术爱好者的朝圣地</w:t>
            </w:r>
          </w:p>
          <w:p w14:paraId="345356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·课题调研将深入探索大都会博物馆的收藏、历史、建筑风格及其在教育、文化交流等方面的作用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A24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  <w:lang w:eastAsia="zh-Hans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小组讨论</w:t>
            </w:r>
          </w:p>
          <w:p w14:paraId="0AAB862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·分享学习到的知识与思考</w:t>
            </w:r>
          </w:p>
        </w:tc>
      </w:tr>
      <w:tr w14:paraId="19A58886">
        <w:trPr>
          <w:trHeight w:val="758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20E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15</w:t>
            </w:r>
          </w:p>
          <w:p w14:paraId="0FFD16D9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</w:t>
            </w:r>
          </w:p>
        </w:tc>
        <w:tc>
          <w:tcPr>
            <w:tcW w:w="34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901E6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 | 商业文化</w:t>
            </w:r>
          </w:p>
          <w:p w14:paraId="67D9608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·走进美国大型商超，感受美国商业氛围</w:t>
            </w:r>
          </w:p>
          <w:p w14:paraId="263C995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b/>
                <w:b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·调研美国商业品牌及本土运作模式，赴全美最大奥特莱斯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1A2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小组讨论</w:t>
            </w:r>
          </w:p>
          <w:p w14:paraId="413FDD3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·分享学习到的知识与思考</w:t>
            </w:r>
          </w:p>
        </w:tc>
      </w:tr>
      <w:tr w14:paraId="487C5230">
        <w:trPr>
          <w:trHeight w:val="1311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F3496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16</w:t>
            </w:r>
          </w:p>
          <w:p w14:paraId="6F38590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高校参访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4A39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·集体乘车前往费城</w:t>
            </w:r>
          </w:p>
          <w:p w14:paraId="3FC6366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高校参访｜宾夕法尼亚大学</w:t>
            </w:r>
          </w:p>
          <w:p w14:paraId="55F5E69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走进宾夕法尼亚大学，了解建校历史、发展脉络、办学理念和特色学科，感受校园环境等，欣赏学院楼哥特式建筑群落，了解本杰明・富兰克林，感受名校的历史底蕴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FF5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城市调研｜自由钟、独立宫</w:t>
            </w:r>
          </w:p>
          <w:p w14:paraId="750905F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走进费城标志性建筑自由钟和独立宫</w:t>
            </w:r>
          </w:p>
          <w:p w14:paraId="0262E2B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·集体乘车前往华盛顿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CC64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集体抵达华盛顿</w:t>
            </w:r>
          </w:p>
          <w:p w14:paraId="7B23DF0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  <w:lang w:eastAsia="zh-Hans"/>
              </w:rPr>
              <w:t>·入住酒店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休整</w:t>
            </w:r>
          </w:p>
        </w:tc>
      </w:tr>
      <w:tr w14:paraId="327D6437">
        <w:trPr>
          <w:trHeight w:val="1817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89C2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D17</w:t>
            </w:r>
          </w:p>
          <w:p w14:paraId="21D127E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F5A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城市调研｜国会大厦</w:t>
            </w:r>
          </w:p>
          <w:p w14:paraId="2A4487D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·参观国会大厦、各个议事厅，如众议院议事厅和参议院议事厅，了解其布局、座位安排以及议员们进行辩论和投票的流程</w:t>
            </w:r>
          </w:p>
          <w:p w14:paraId="1744781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·了解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国会的工作流程、立法过程中的挑战等问题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C76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文化沉浸｜华盛顿·博物馆区</w:t>
            </w:r>
          </w:p>
          <w:p w14:paraId="698436B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·走进国家航空航天博物馆感受阿波罗11号登月舱、莱特兄弟飞机等；</w:t>
            </w:r>
          </w:p>
          <w:p w14:paraId="4BD32F6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·走进国家自然历史博物馆发掘恐龙化石、珍稀宝石及生态场景复原；</w:t>
            </w:r>
          </w:p>
          <w:p w14:paraId="64FF299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i/>
                <w:iCs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·走进国家美术馆，感受达·芬奇、梵·高、莫奈等大师真迹，东西两翼涵盖古典与现代艺术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41CD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小组讨论</w:t>
            </w:r>
          </w:p>
          <w:p w14:paraId="0692CE8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·分享学习到的知识与思考</w:t>
            </w:r>
          </w:p>
        </w:tc>
      </w:tr>
      <w:tr w14:paraId="4B738DC2">
        <w:trPr>
          <w:trHeight w:val="2246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E6F6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D18</w:t>
            </w:r>
          </w:p>
          <w:p w14:paraId="0534918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外交参访</w:t>
            </w:r>
          </w:p>
        </w:tc>
        <w:tc>
          <w:tcPr>
            <w:tcW w:w="17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9A20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外交参访｜世界银行</w:t>
            </w:r>
          </w:p>
          <w:p w14:paraId="208B18B1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走进世界银行，深度了解世界银行成立背景、发展历程、主要目标和任务，以及其在全球范围内开展的各类项目和活动，如贷款项目、技术援助、政策咨询等。通过具体的案例和数据，了解世界银行在促进经济发展、减少贫困、改善民生等方面所做出的努力和贡献</w:t>
            </w:r>
          </w:p>
          <w:p w14:paraId="6F9D62F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</w:rPr>
              <w:t>·－世界银行现任官员</w:t>
            </w:r>
          </w:p>
        </w:tc>
        <w:tc>
          <w:tcPr>
            <w:tcW w:w="17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41A2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高校参访｜乔治·华盛顿大学</w:t>
            </w:r>
          </w:p>
          <w:p w14:paraId="46C7750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 Semibold" w:hAnsi="PingFang SC Semibold" w:eastAsia="PingFang SC Semibold" w:cs="PingFang SC Semibold"/>
                <w:b/>
                <w:bCs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走进乔治·华盛顿大学，深入了解学校的校园布局、学术特色、校园文化，调研过程中对美国私立高等院校办学理念、学科建设、招生政策的全方位了解</w:t>
            </w:r>
          </w:p>
          <w:p w14:paraId="799F49FA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i/>
                <w:iCs/>
                <w:sz w:val="16"/>
                <w:szCs w:val="16"/>
              </w:rPr>
              <w:t>·－高校工作人员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1738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</w:t>
            </w: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小组讨论</w:t>
            </w:r>
          </w:p>
          <w:p w14:paraId="6E8D8F4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ascii="pingfang sc" w:hAnsi="pingfang sc" w:eastAsia="pingfang sc" w:cs="pingfang sc"/>
                <w:sz w:val="16"/>
                <w:szCs w:val="16"/>
              </w:rPr>
              <w:t>·分享学习到的知识与思考</w:t>
            </w:r>
          </w:p>
        </w:tc>
      </w:tr>
      <w:tr w14:paraId="467C4FF7">
        <w:trPr>
          <w:trHeight w:val="630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2F0E3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  <w:lang w:eastAsia="zh-Hans"/>
              </w:rPr>
              <w:t>D</w:t>
            </w: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19</w:t>
            </w:r>
          </w:p>
          <w:p w14:paraId="241C6F1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返程日</w:t>
            </w:r>
          </w:p>
        </w:tc>
        <w:tc>
          <w:tcPr>
            <w:tcW w:w="34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C1E2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·酒店退房、乘车前往机场，准备返程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B54DF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·搭乘回国航班</w:t>
            </w:r>
          </w:p>
          <w:p w14:paraId="6A933A54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·乘机飞行</w:t>
            </w:r>
          </w:p>
        </w:tc>
      </w:tr>
      <w:tr w14:paraId="52A923BB">
        <w:trPr>
          <w:trHeight w:val="532" w:hRule="atLeast"/>
        </w:trPr>
        <w:tc>
          <w:tcPr>
            <w:tcW w:w="5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85E2E">
            <w:pPr>
              <w:adjustRightInd w:val="0"/>
              <w:snapToGrid w:val="0"/>
              <w:jc w:val="center"/>
              <w:rPr>
                <w:rFonts w:ascii="Times New Roman" w:hAnsi="Times New Roman" w:eastAsia="PingFang SC Regular" w:cs="Times New Roman"/>
                <w:b/>
                <w:bCs/>
                <w:sz w:val="16"/>
                <w:szCs w:val="16"/>
              </w:rPr>
            </w:pPr>
            <w:r>
              <w:rPr>
                <w:rFonts w:hint="eastAsia" w:ascii="Times New Roman" w:hAnsi="Times New Roman" w:eastAsia="PingFang SC Regular" w:cs="Times New Roman"/>
                <w:b/>
                <w:bCs/>
                <w:sz w:val="16"/>
                <w:szCs w:val="16"/>
              </w:rPr>
              <w:t>D20</w:t>
            </w:r>
          </w:p>
          <w:p w14:paraId="247BC78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 Regular" w:hAnsi="PingFang SC Regular" w:eastAsia="PingFang SC Regular" w:cs="PingFang SC Regular"/>
                <w:b/>
                <w:bCs/>
                <w:sz w:val="16"/>
                <w:szCs w:val="16"/>
              </w:rPr>
            </w:pPr>
            <w:r>
              <w:rPr>
                <w:rFonts w:hint="eastAsia" w:ascii="PingFang SC Regular" w:hAnsi="PingFang SC Regular" w:eastAsia="PingFang SC Regular" w:cs="PingFang SC Regular"/>
                <w:b/>
                <w:bCs/>
                <w:sz w:val="16"/>
                <w:szCs w:val="16"/>
              </w:rPr>
              <w:t>飞行日</w:t>
            </w:r>
          </w:p>
        </w:tc>
        <w:tc>
          <w:tcPr>
            <w:tcW w:w="4418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8CFAFE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·安全</w:t>
            </w:r>
            <w:r>
              <w:rPr>
                <w:rFonts w:ascii="pingfang sc" w:hAnsi="pingfang sc" w:eastAsia="pingfang sc" w:cs="pingfang sc"/>
                <w:sz w:val="16"/>
                <w:szCs w:val="16"/>
              </w:rPr>
              <w:t>抵达中国</w:t>
            </w:r>
          </w:p>
          <w:p w14:paraId="62D1251C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pingfang sc" w:hAnsi="pingfang sc" w:eastAsia="pingfang sc" w:cs="pingfang sc"/>
                <w:sz w:val="16"/>
                <w:szCs w:val="16"/>
              </w:rPr>
            </w:pPr>
            <w:r>
              <w:rPr>
                <w:rFonts w:hint="eastAsia" w:ascii="pingfang sc" w:hAnsi="pingfang sc" w:eastAsia="pingfang sc" w:cs="pingfang sc"/>
                <w:sz w:val="16"/>
                <w:szCs w:val="16"/>
              </w:rPr>
              <w:t>·项目圆满结束</w:t>
            </w:r>
          </w:p>
        </w:tc>
      </w:tr>
    </w:tbl>
    <w:p w14:paraId="6C72D673">
      <w:pPr>
        <w:jc w:val="left"/>
        <w:rPr>
          <w:rFonts w:eastAsia="微软雅黑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</w:rPr>
        <w:t>注：以上日程安排仅供参考。授课国际组织及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  <w:lang w:eastAsia="zh-Hans"/>
        </w:rPr>
        <w:t>参访机构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</w:rPr>
        <w:t>可能会因联合国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  <w:lang w:eastAsia="zh-Hans"/>
        </w:rPr>
        <w:t>国际组织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</w:rPr>
        <w:t>安排进行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  <w:lang w:eastAsia="zh-Hans"/>
        </w:rPr>
        <w:t>调整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</w:rPr>
        <w:t>，以主办方最终通知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  <w:lang w:eastAsia="zh-Hans"/>
        </w:rPr>
        <w:t>和执行</w:t>
      </w:r>
      <w:r>
        <w:rPr>
          <w:rFonts w:hint="eastAsia" w:ascii="微软雅黑" w:hAnsi="微软雅黑" w:eastAsia="微软雅黑" w:cs="微软雅黑"/>
          <w:b/>
          <w:bCs/>
          <w:color w:val="000000"/>
          <w:sz w:val="16"/>
          <w:szCs w:val="16"/>
        </w:rPr>
        <w:t>为准</w:t>
      </w:r>
      <w:r>
        <w:rPr>
          <w:rFonts w:ascii="微软雅黑" w:hAnsi="微软雅黑" w:eastAsia="微软雅黑" w:cs="微软雅黑"/>
          <w:b/>
          <w:bCs/>
          <w:color w:val="000000"/>
          <w:sz w:val="16"/>
          <w:szCs w:val="16"/>
        </w:rPr>
        <w:t>。</w:t>
      </w:r>
    </w:p>
    <w:p w14:paraId="01B6F9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微软雅黑 Semibold">
    <w:altName w:val="汉仪中黑KW"/>
    <w:panose1 w:val="00000000000000000000"/>
    <w:charset w:val="86"/>
    <w:family w:val="swiss"/>
    <w:pitch w:val="default"/>
    <w:sig w:usb0="00000000" w:usb1="00000000" w:usb2="00000016" w:usb3="00000000" w:csb0="0004019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PingFang SC Regular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PingFang SC Semibold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E88DA"/>
    <w:rsid w:val="DFFE8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left="318"/>
      <w:outlineLvl w:val="0"/>
    </w:pPr>
    <w:rPr>
      <w:rFonts w:ascii="微软雅黑 Semibold" w:hAnsi="微软雅黑 Semibold" w:eastAsia="微软雅黑 Semibold" w:cs="微软雅黑 Semibold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2026-09-14T09:29:00Z</dcterms:created>
  <dc:creator>禾晞</dc:creator>
  <cp:lastModifiedBy>禾晞</cp:lastModifiedBy>
  <dcterms:modified xsi:type="dcterms:W3CDTF">2026-09-14T09:30:42Z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3778DEBD4B702D880F4EA76A9A552ADA_41</vt:lpwstr>
  </property>
</Properties>
</file>